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1F67" w14:textId="5DD5B625" w:rsidR="009A613C" w:rsidRPr="009A613C" w:rsidRDefault="009A613C" w:rsidP="009A613C">
      <w:pPr>
        <w:pStyle w:val="Heading1"/>
        <w:rPr>
          <w:b/>
          <w:bCs/>
        </w:rPr>
      </w:pPr>
      <w:r w:rsidRPr="009A613C">
        <w:rPr>
          <w:b/>
          <w:bCs/>
        </w:rPr>
        <w:t>Multiply Programme - Information Request</w:t>
      </w:r>
    </w:p>
    <w:p w14:paraId="281AF9B7" w14:textId="77777777" w:rsidR="009A613C" w:rsidRPr="009A613C" w:rsidRDefault="009A613C" w:rsidP="009A613C"/>
    <w:p w14:paraId="0B18CC76" w14:textId="28F34A9F" w:rsidR="009A613C" w:rsidRPr="009A613C" w:rsidRDefault="008059DE" w:rsidP="009A613C">
      <w:pPr>
        <w:pStyle w:val="Heading2"/>
      </w:pPr>
      <w:r w:rsidRPr="009A613C">
        <w:t>What Is Multiply:</w:t>
      </w:r>
    </w:p>
    <w:p w14:paraId="66E497CA" w14:textId="729F422D" w:rsidR="009703AE" w:rsidRPr="00D62315" w:rsidRDefault="00254935" w:rsidP="00BF7CC1">
      <w:pPr>
        <w:spacing w:after="0" w:line="240" w:lineRule="auto"/>
        <w:textAlignment w:val="baseline"/>
        <w:rPr>
          <w:rFonts w:ascii="Calibri" w:eastAsia="Times New Roman" w:hAnsi="Calibri" w:cs="Calibri"/>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 xml:space="preserve">Multiply is the new national programme focused on improving adult numeracy skills. </w:t>
      </w:r>
      <w:r w:rsidR="00E46DE3" w:rsidRPr="00D62315">
        <w:rPr>
          <w:rFonts w:ascii="Calibri" w:eastAsia="Times New Roman" w:hAnsi="Calibri" w:cs="Calibri"/>
          <w:color w:val="3B3838" w:themeColor="background2" w:themeShade="40"/>
          <w:sz w:val="24"/>
          <w:szCs w:val="24"/>
          <w:lang w:eastAsia="en-GB"/>
        </w:rPr>
        <w:t xml:space="preserve">As part of the UK Shared Prosperity Fund the programme </w:t>
      </w:r>
      <w:r w:rsidR="00A63159" w:rsidRPr="00D62315">
        <w:rPr>
          <w:rFonts w:ascii="Calibri" w:eastAsia="Times New Roman" w:hAnsi="Calibri" w:cs="Calibri"/>
          <w:color w:val="3B3838" w:themeColor="background2" w:themeShade="40"/>
          <w:sz w:val="24"/>
          <w:szCs w:val="24"/>
          <w:lang w:eastAsia="en-GB"/>
        </w:rPr>
        <w:t xml:space="preserve">is </w:t>
      </w:r>
      <w:r w:rsidR="00F10E82" w:rsidRPr="00D62315">
        <w:rPr>
          <w:rFonts w:ascii="Calibri" w:eastAsia="Times New Roman" w:hAnsi="Calibri" w:cs="Calibri"/>
          <w:color w:val="3B3838" w:themeColor="background2" w:themeShade="40"/>
          <w:sz w:val="24"/>
          <w:szCs w:val="24"/>
          <w:lang w:eastAsia="en-GB"/>
        </w:rPr>
        <w:t>targeted a</w:t>
      </w:r>
      <w:r w:rsidR="00BF7CC1" w:rsidRPr="00D62315">
        <w:rPr>
          <w:rFonts w:ascii="Calibri" w:eastAsia="Times New Roman" w:hAnsi="Calibri" w:cs="Calibri"/>
          <w:color w:val="3B3838" w:themeColor="background2" w:themeShade="40"/>
          <w:sz w:val="24"/>
          <w:szCs w:val="24"/>
          <w:lang w:eastAsia="en-GB"/>
        </w:rPr>
        <w:t xml:space="preserve">t </w:t>
      </w:r>
      <w:r w:rsidR="002B253D" w:rsidRPr="00D62315">
        <w:rPr>
          <w:rFonts w:ascii="Calibri" w:eastAsia="Times New Roman" w:hAnsi="Calibri" w:cs="Calibri"/>
          <w:b/>
          <w:bCs/>
          <w:color w:val="3B3838" w:themeColor="background2" w:themeShade="40"/>
          <w:sz w:val="24"/>
          <w:szCs w:val="24"/>
          <w:lang w:eastAsia="en-GB"/>
        </w:rPr>
        <w:t xml:space="preserve">Adults (over 19) </w:t>
      </w:r>
      <w:r w:rsidR="002B253D" w:rsidRPr="00D62315">
        <w:rPr>
          <w:rFonts w:ascii="Calibri" w:eastAsia="Times New Roman" w:hAnsi="Calibri" w:cs="Calibri"/>
          <w:color w:val="3B3838" w:themeColor="background2" w:themeShade="40"/>
          <w:sz w:val="24"/>
          <w:szCs w:val="24"/>
          <w:lang w:eastAsia="en-GB"/>
        </w:rPr>
        <w:t>who don’t already have Level 2 maths – whether</w:t>
      </w:r>
      <w:r w:rsidR="00754880" w:rsidRPr="00D62315">
        <w:rPr>
          <w:rFonts w:ascii="Calibri" w:eastAsia="Times New Roman" w:hAnsi="Calibri" w:cs="Calibri"/>
          <w:color w:val="3B3838" w:themeColor="background2" w:themeShade="40"/>
          <w:sz w:val="24"/>
          <w:szCs w:val="24"/>
          <w:lang w:eastAsia="en-GB"/>
        </w:rPr>
        <w:t xml:space="preserve"> they are</w:t>
      </w:r>
      <w:r w:rsidR="002B253D" w:rsidRPr="00D62315">
        <w:rPr>
          <w:rFonts w:ascii="Calibri" w:eastAsia="Times New Roman" w:hAnsi="Calibri" w:cs="Calibri"/>
          <w:color w:val="3B3838" w:themeColor="background2" w:themeShade="40"/>
          <w:sz w:val="24"/>
          <w:szCs w:val="24"/>
          <w:lang w:eastAsia="en-GB"/>
        </w:rPr>
        <w:t xml:space="preserve"> in employment or unemployment</w:t>
      </w:r>
      <w:r w:rsidR="001E6478" w:rsidRPr="00D62315">
        <w:rPr>
          <w:rFonts w:ascii="Calibri" w:eastAsia="Times New Roman" w:hAnsi="Calibri" w:cs="Calibri"/>
          <w:color w:val="3B3838" w:themeColor="background2" w:themeShade="40"/>
          <w:sz w:val="24"/>
          <w:szCs w:val="24"/>
          <w:lang w:eastAsia="en-GB"/>
        </w:rPr>
        <w:t>.</w:t>
      </w:r>
    </w:p>
    <w:p w14:paraId="17D0077B" w14:textId="22BBB64D" w:rsidR="00AF123E" w:rsidRPr="00D62315" w:rsidRDefault="00AF123E" w:rsidP="00BF7CC1">
      <w:pPr>
        <w:spacing w:after="0" w:line="240" w:lineRule="auto"/>
        <w:textAlignment w:val="baseline"/>
        <w:rPr>
          <w:rFonts w:ascii="Calibri" w:eastAsia="Times New Roman" w:hAnsi="Calibri" w:cs="Calibri"/>
          <w:color w:val="3B3838" w:themeColor="background2" w:themeShade="40"/>
          <w:sz w:val="24"/>
          <w:szCs w:val="24"/>
          <w:lang w:eastAsia="en-GB"/>
        </w:rPr>
      </w:pPr>
    </w:p>
    <w:p w14:paraId="48971BDE" w14:textId="15FA1B54" w:rsidR="00AF123E" w:rsidRDefault="00AF123E" w:rsidP="38023645">
      <w:pPr>
        <w:spacing w:after="0" w:line="240" w:lineRule="auto"/>
        <w:textAlignment w:val="baseline"/>
        <w:rPr>
          <w:rFonts w:ascii="Calibri" w:eastAsia="Times New Roman" w:hAnsi="Calibri" w:cs="Calibri"/>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 xml:space="preserve">The programme will help </w:t>
      </w:r>
      <w:r w:rsidRPr="00D62315">
        <w:rPr>
          <w:rFonts w:ascii="Calibri" w:eastAsia="Times New Roman" w:hAnsi="Calibri" w:cs="Calibri"/>
          <w:b/>
          <w:color w:val="3B3838" w:themeColor="background2" w:themeShade="40"/>
          <w:sz w:val="24"/>
          <w:szCs w:val="24"/>
          <w:lang w:eastAsia="en-GB"/>
        </w:rPr>
        <w:t>people</w:t>
      </w:r>
      <w:r w:rsidRPr="00D62315">
        <w:rPr>
          <w:rFonts w:ascii="Calibri" w:eastAsia="Times New Roman" w:hAnsi="Calibri" w:cs="Calibri"/>
          <w:color w:val="3B3838" w:themeColor="background2" w:themeShade="40"/>
          <w:sz w:val="24"/>
          <w:szCs w:val="24"/>
          <w:lang w:eastAsia="en-GB"/>
        </w:rPr>
        <w:t xml:space="preserve"> to develop their numeracy skills</w:t>
      </w:r>
      <w:r w:rsidR="00E14AED" w:rsidRPr="00D62315">
        <w:rPr>
          <w:rFonts w:ascii="Calibri" w:eastAsia="Times New Roman" w:hAnsi="Calibri" w:cs="Calibri"/>
          <w:color w:val="3B3838" w:themeColor="background2" w:themeShade="40"/>
          <w:sz w:val="24"/>
          <w:szCs w:val="24"/>
          <w:lang w:eastAsia="en-GB"/>
        </w:rPr>
        <w:t xml:space="preserve"> </w:t>
      </w:r>
      <w:r w:rsidRPr="00D62315">
        <w:rPr>
          <w:rFonts w:ascii="Calibri" w:eastAsia="Times New Roman" w:hAnsi="Calibri" w:cs="Calibri"/>
          <w:color w:val="3B3838" w:themeColor="background2" w:themeShade="40"/>
          <w:sz w:val="24"/>
          <w:szCs w:val="24"/>
          <w:lang w:eastAsia="en-GB"/>
        </w:rPr>
        <w:t xml:space="preserve">and confidence and: </w:t>
      </w:r>
    </w:p>
    <w:p w14:paraId="36F71EE9" w14:textId="77777777" w:rsidR="00D62315" w:rsidRPr="00D62315" w:rsidRDefault="00D62315" w:rsidP="38023645">
      <w:pPr>
        <w:spacing w:after="0" w:line="240" w:lineRule="auto"/>
        <w:textAlignment w:val="baseline"/>
        <w:rPr>
          <w:rFonts w:ascii="Calibri" w:eastAsia="Times New Roman" w:hAnsi="Calibri" w:cs="Calibri"/>
          <w:color w:val="3B3838" w:themeColor="background2" w:themeShade="40"/>
          <w:sz w:val="24"/>
          <w:szCs w:val="24"/>
          <w:lang w:eastAsia="en-GB"/>
        </w:rPr>
      </w:pPr>
    </w:p>
    <w:p w14:paraId="65881821" w14:textId="2F3E200E" w:rsidR="00AF123E" w:rsidRPr="00D62315" w:rsidRDefault="00116BEF" w:rsidP="38023645">
      <w:pPr>
        <w:pStyle w:val="ListParagraph"/>
        <w:numPr>
          <w:ilvl w:val="0"/>
          <w:numId w:val="7"/>
        </w:numPr>
        <w:spacing w:after="0" w:line="240" w:lineRule="auto"/>
        <w:textAlignment w:val="baseline"/>
        <w:rPr>
          <w:rFonts w:eastAsiaTheme="minorEastAsia"/>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S</w:t>
      </w:r>
      <w:r w:rsidR="00AF123E" w:rsidRPr="00D62315">
        <w:rPr>
          <w:rFonts w:ascii="Calibri" w:eastAsia="Times New Roman" w:hAnsi="Calibri" w:cs="Calibri"/>
          <w:color w:val="3B3838" w:themeColor="background2" w:themeShade="40"/>
          <w:sz w:val="24"/>
          <w:szCs w:val="24"/>
          <w:lang w:eastAsia="en-GB"/>
        </w:rPr>
        <w:t>upport them into</w:t>
      </w:r>
      <w:r w:rsidR="00E14AED" w:rsidRPr="00D62315">
        <w:rPr>
          <w:rFonts w:ascii="Calibri" w:eastAsia="Times New Roman" w:hAnsi="Calibri" w:cs="Calibri"/>
          <w:color w:val="3B3838" w:themeColor="background2" w:themeShade="40"/>
          <w:sz w:val="24"/>
          <w:szCs w:val="24"/>
          <w:lang w:eastAsia="en-GB"/>
        </w:rPr>
        <w:t xml:space="preserve"> employment</w:t>
      </w:r>
      <w:r w:rsidR="00AF123E" w:rsidRPr="00D62315">
        <w:rPr>
          <w:rFonts w:ascii="Calibri" w:eastAsia="Times New Roman" w:hAnsi="Calibri" w:cs="Calibri"/>
          <w:color w:val="3B3838" w:themeColor="background2" w:themeShade="40"/>
          <w:sz w:val="24"/>
          <w:szCs w:val="24"/>
          <w:lang w:eastAsia="en-GB"/>
        </w:rPr>
        <w:t xml:space="preserve"> or move them closer to employment</w:t>
      </w:r>
    </w:p>
    <w:p w14:paraId="5463C9B1" w14:textId="7953C969" w:rsidR="00AF123E" w:rsidRPr="00D62315" w:rsidRDefault="00116BEF" w:rsidP="38023645">
      <w:pPr>
        <w:pStyle w:val="ListParagraph"/>
        <w:numPr>
          <w:ilvl w:val="0"/>
          <w:numId w:val="7"/>
        </w:numPr>
        <w:spacing w:after="0" w:line="240" w:lineRule="auto"/>
        <w:textAlignment w:val="baseline"/>
        <w:rPr>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H</w:t>
      </w:r>
      <w:r w:rsidR="00AF123E" w:rsidRPr="00D62315">
        <w:rPr>
          <w:rFonts w:ascii="Calibri" w:eastAsia="Times New Roman" w:hAnsi="Calibri" w:cs="Calibri"/>
          <w:color w:val="3B3838" w:themeColor="background2" w:themeShade="40"/>
          <w:sz w:val="24"/>
          <w:szCs w:val="24"/>
          <w:lang w:eastAsia="en-GB"/>
        </w:rPr>
        <w:t>elp them gain confidence with tasks within their current job role and take on additional responsibilities for their employer</w:t>
      </w:r>
    </w:p>
    <w:p w14:paraId="65C7C1AB" w14:textId="4B336103" w:rsidR="00AF123E" w:rsidRPr="00D62315" w:rsidRDefault="00116BEF" w:rsidP="38023645">
      <w:pPr>
        <w:pStyle w:val="ListParagraph"/>
        <w:numPr>
          <w:ilvl w:val="0"/>
          <w:numId w:val="7"/>
        </w:numPr>
        <w:spacing w:after="0" w:line="240" w:lineRule="auto"/>
        <w:textAlignment w:val="baseline"/>
        <w:rPr>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E</w:t>
      </w:r>
      <w:r w:rsidR="00AF123E" w:rsidRPr="00D62315">
        <w:rPr>
          <w:rFonts w:ascii="Calibri" w:eastAsia="Times New Roman" w:hAnsi="Calibri" w:cs="Calibri"/>
          <w:color w:val="3B3838" w:themeColor="background2" w:themeShade="40"/>
          <w:sz w:val="24"/>
          <w:szCs w:val="24"/>
          <w:lang w:eastAsia="en-GB"/>
        </w:rPr>
        <w:t xml:space="preserve">nable them to manage not only </w:t>
      </w:r>
      <w:r w:rsidR="00E14AED" w:rsidRPr="00D62315">
        <w:rPr>
          <w:rFonts w:ascii="Calibri" w:eastAsia="Times New Roman" w:hAnsi="Calibri" w:cs="Calibri"/>
          <w:color w:val="3B3838" w:themeColor="background2" w:themeShade="40"/>
          <w:sz w:val="24"/>
          <w:szCs w:val="24"/>
          <w:lang w:eastAsia="en-GB"/>
        </w:rPr>
        <w:t>work-related numeracy</w:t>
      </w:r>
      <w:r w:rsidRPr="00D62315">
        <w:rPr>
          <w:rFonts w:ascii="Calibri" w:eastAsia="Times New Roman" w:hAnsi="Calibri" w:cs="Calibri"/>
          <w:color w:val="3B3838" w:themeColor="background2" w:themeShade="40"/>
          <w:sz w:val="24"/>
          <w:szCs w:val="24"/>
          <w:lang w:eastAsia="en-GB"/>
        </w:rPr>
        <w:t>-</w:t>
      </w:r>
      <w:r w:rsidR="00E14AED" w:rsidRPr="00D62315">
        <w:rPr>
          <w:rFonts w:ascii="Calibri" w:eastAsia="Times New Roman" w:hAnsi="Calibri" w:cs="Calibri"/>
          <w:color w:val="3B3838" w:themeColor="background2" w:themeShade="40"/>
          <w:sz w:val="24"/>
          <w:szCs w:val="24"/>
          <w:lang w:eastAsia="en-GB"/>
        </w:rPr>
        <w:t>based tasks but also personal finances. With the cost of living increasing, this has become even more important to support people’s wellbeing.</w:t>
      </w:r>
      <w:r w:rsidR="00B77CA6" w:rsidRPr="00D62315">
        <w:rPr>
          <w:rFonts w:ascii="Calibri" w:eastAsia="Times New Roman" w:hAnsi="Calibri" w:cs="Calibri"/>
          <w:color w:val="3B3838" w:themeColor="background2" w:themeShade="40"/>
          <w:sz w:val="24"/>
          <w:szCs w:val="24"/>
          <w:lang w:eastAsia="en-GB"/>
        </w:rPr>
        <w:t xml:space="preserve"> </w:t>
      </w:r>
      <w:r w:rsidR="00E14AED" w:rsidRPr="00D62315">
        <w:rPr>
          <w:rFonts w:ascii="Calibri" w:eastAsia="Times New Roman" w:hAnsi="Calibri" w:cs="Calibri"/>
          <w:color w:val="3B3838" w:themeColor="background2" w:themeShade="40"/>
          <w:sz w:val="24"/>
          <w:szCs w:val="24"/>
          <w:lang w:eastAsia="en-GB"/>
        </w:rPr>
        <w:t xml:space="preserve">  </w:t>
      </w:r>
    </w:p>
    <w:p w14:paraId="00DEBA42" w14:textId="266A0D59" w:rsidR="00AF123E" w:rsidRPr="00D62315" w:rsidRDefault="00AF123E" w:rsidP="38023645">
      <w:pPr>
        <w:spacing w:after="0" w:line="240" w:lineRule="auto"/>
        <w:textAlignment w:val="baseline"/>
        <w:rPr>
          <w:rFonts w:ascii="Calibri" w:eastAsia="Times New Roman" w:hAnsi="Calibri" w:cs="Calibri"/>
          <w:color w:val="3B3838" w:themeColor="background2" w:themeShade="40"/>
          <w:sz w:val="24"/>
          <w:szCs w:val="24"/>
          <w:lang w:eastAsia="en-GB"/>
        </w:rPr>
      </w:pPr>
    </w:p>
    <w:p w14:paraId="1BABB521" w14:textId="4169AFBB" w:rsidR="00AF123E" w:rsidRDefault="00B77CA6" w:rsidP="38023645">
      <w:pPr>
        <w:spacing w:after="0" w:line="240" w:lineRule="auto"/>
        <w:textAlignment w:val="baseline"/>
        <w:rPr>
          <w:rFonts w:ascii="Calibri" w:eastAsia="Times New Roman" w:hAnsi="Calibri" w:cs="Calibri"/>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 xml:space="preserve">It will also support </w:t>
      </w:r>
      <w:r w:rsidRPr="00D62315">
        <w:rPr>
          <w:rFonts w:ascii="Calibri" w:eastAsia="Times New Roman" w:hAnsi="Calibri" w:cs="Calibri"/>
          <w:b/>
          <w:color w:val="3B3838" w:themeColor="background2" w:themeShade="40"/>
          <w:sz w:val="24"/>
          <w:szCs w:val="24"/>
          <w:lang w:eastAsia="en-GB"/>
        </w:rPr>
        <w:t>businesses</w:t>
      </w:r>
      <w:r w:rsidRPr="00D62315">
        <w:rPr>
          <w:rFonts w:ascii="Calibri" w:eastAsia="Times New Roman" w:hAnsi="Calibri" w:cs="Calibri"/>
          <w:color w:val="3B3838" w:themeColor="background2" w:themeShade="40"/>
          <w:sz w:val="24"/>
          <w:szCs w:val="24"/>
          <w:lang w:eastAsia="en-GB"/>
        </w:rPr>
        <w:t xml:space="preserve"> to:</w:t>
      </w:r>
    </w:p>
    <w:p w14:paraId="0E875FAB" w14:textId="77777777" w:rsidR="00D62315" w:rsidRPr="00D62315" w:rsidRDefault="00D62315" w:rsidP="38023645">
      <w:pPr>
        <w:spacing w:after="0" w:line="240" w:lineRule="auto"/>
        <w:textAlignment w:val="baseline"/>
        <w:rPr>
          <w:rFonts w:ascii="Calibri" w:eastAsia="Times New Roman" w:hAnsi="Calibri" w:cs="Calibri"/>
          <w:color w:val="3B3838" w:themeColor="background2" w:themeShade="40"/>
          <w:sz w:val="24"/>
          <w:szCs w:val="24"/>
          <w:lang w:eastAsia="en-GB"/>
        </w:rPr>
      </w:pPr>
    </w:p>
    <w:p w14:paraId="164D7FCB" w14:textId="0867B501" w:rsidR="00AF123E" w:rsidRPr="00D62315" w:rsidRDefault="000D645A" w:rsidP="38023645">
      <w:pPr>
        <w:pStyle w:val="ListParagraph"/>
        <w:numPr>
          <w:ilvl w:val="0"/>
          <w:numId w:val="6"/>
        </w:numPr>
        <w:spacing w:after="0" w:line="240" w:lineRule="auto"/>
        <w:textAlignment w:val="baseline"/>
        <w:rPr>
          <w:rFonts w:eastAsiaTheme="minorEastAsia"/>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D</w:t>
      </w:r>
      <w:r w:rsidR="00B77CA6" w:rsidRPr="00D62315">
        <w:rPr>
          <w:rFonts w:ascii="Calibri" w:eastAsia="Times New Roman" w:hAnsi="Calibri" w:cs="Calibri"/>
          <w:color w:val="3B3838" w:themeColor="background2" w:themeShade="40"/>
          <w:sz w:val="24"/>
          <w:szCs w:val="24"/>
          <w:lang w:eastAsia="en-GB"/>
        </w:rPr>
        <w:t>evelop their employee’s numeracy confidence and skills, helping to boost</w:t>
      </w:r>
      <w:r w:rsidR="000C714A" w:rsidRPr="00D62315">
        <w:rPr>
          <w:rFonts w:ascii="Calibri" w:eastAsia="Times New Roman" w:hAnsi="Calibri" w:cs="Calibri"/>
          <w:color w:val="3B3838" w:themeColor="background2" w:themeShade="40"/>
          <w:sz w:val="24"/>
          <w:szCs w:val="24"/>
          <w:lang w:eastAsia="en-GB"/>
        </w:rPr>
        <w:t xml:space="preserve"> productivity and increase profits</w:t>
      </w:r>
    </w:p>
    <w:p w14:paraId="4B49AA7F" w14:textId="0C837720" w:rsidR="38023645" w:rsidRPr="00D62315" w:rsidRDefault="38023645" w:rsidP="38023645">
      <w:pPr>
        <w:pStyle w:val="ListParagraph"/>
        <w:numPr>
          <w:ilvl w:val="0"/>
          <w:numId w:val="6"/>
        </w:numPr>
        <w:spacing w:after="0" w:line="240" w:lineRule="auto"/>
        <w:rPr>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Invest in their workforce/staff (</w:t>
      </w:r>
      <w:r w:rsidR="00116BEF" w:rsidRPr="00D62315">
        <w:rPr>
          <w:rFonts w:ascii="Calibri" w:eastAsia="Times New Roman" w:hAnsi="Calibri" w:cs="Calibri"/>
          <w:color w:val="3B3838" w:themeColor="background2" w:themeShade="40"/>
          <w:sz w:val="24"/>
          <w:szCs w:val="24"/>
          <w:lang w:eastAsia="en-GB"/>
        </w:rPr>
        <w:t>i</w:t>
      </w:r>
      <w:r w:rsidRPr="00D62315">
        <w:rPr>
          <w:rFonts w:ascii="Calibri" w:eastAsia="Times New Roman" w:hAnsi="Calibri" w:cs="Calibri"/>
          <w:color w:val="3B3838" w:themeColor="background2" w:themeShade="40"/>
          <w:sz w:val="24"/>
          <w:szCs w:val="24"/>
          <w:lang w:eastAsia="en-GB"/>
        </w:rPr>
        <w:t>.e. as part of staff development programmes) being seen as an employer of choice; and</w:t>
      </w:r>
    </w:p>
    <w:p w14:paraId="3ACAF266" w14:textId="7E2F220D" w:rsidR="38023645" w:rsidRPr="00D62315" w:rsidRDefault="38023645" w:rsidP="38023645">
      <w:pPr>
        <w:pStyle w:val="ListParagraph"/>
        <w:numPr>
          <w:ilvl w:val="0"/>
          <w:numId w:val="6"/>
        </w:numPr>
        <w:spacing w:after="0" w:line="240" w:lineRule="auto"/>
        <w:rPr>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Help employees to take on additional responsibilities as part of their development, thus supporting increased productivity.</w:t>
      </w:r>
    </w:p>
    <w:p w14:paraId="0D21D713" w14:textId="308B6163" w:rsidR="006C1DE8" w:rsidRPr="00D62315" w:rsidRDefault="006C1DE8" w:rsidP="00E46DE3">
      <w:pPr>
        <w:spacing w:after="0" w:line="240" w:lineRule="auto"/>
        <w:textAlignment w:val="baseline"/>
        <w:rPr>
          <w:color w:val="3B3838" w:themeColor="background2" w:themeShade="40"/>
          <w:sz w:val="24"/>
          <w:szCs w:val="24"/>
        </w:rPr>
      </w:pPr>
    </w:p>
    <w:p w14:paraId="65CBA642" w14:textId="7A6DE894" w:rsidR="004F187B" w:rsidRDefault="00C002F2" w:rsidP="00AA5083">
      <w:pPr>
        <w:spacing w:after="0" w:line="240" w:lineRule="auto"/>
        <w:textAlignment w:val="baseline"/>
        <w:rPr>
          <w:color w:val="3B3838" w:themeColor="background2" w:themeShade="40"/>
          <w:sz w:val="24"/>
          <w:szCs w:val="24"/>
        </w:rPr>
      </w:pPr>
      <w:r w:rsidRPr="00D62315">
        <w:rPr>
          <w:color w:val="3B3838" w:themeColor="background2" w:themeShade="40"/>
          <w:sz w:val="24"/>
          <w:szCs w:val="24"/>
        </w:rPr>
        <w:t xml:space="preserve">The programme will start delivery </w:t>
      </w:r>
      <w:r w:rsidR="00BA772C" w:rsidRPr="00D62315">
        <w:rPr>
          <w:color w:val="3B3838" w:themeColor="background2" w:themeShade="40"/>
          <w:sz w:val="24"/>
          <w:szCs w:val="24"/>
        </w:rPr>
        <w:t>in</w:t>
      </w:r>
      <w:r w:rsidR="00C90C20" w:rsidRPr="00D62315">
        <w:rPr>
          <w:color w:val="3B3838" w:themeColor="background2" w:themeShade="40"/>
          <w:sz w:val="24"/>
          <w:szCs w:val="24"/>
        </w:rPr>
        <w:t xml:space="preserve"> the </w:t>
      </w:r>
      <w:r w:rsidR="00C90C20" w:rsidRPr="00D62315">
        <w:rPr>
          <w:b/>
          <w:bCs/>
          <w:color w:val="3B3838" w:themeColor="background2" w:themeShade="40"/>
          <w:sz w:val="24"/>
          <w:szCs w:val="24"/>
        </w:rPr>
        <w:t>2022/23 academic year</w:t>
      </w:r>
      <w:r w:rsidR="00C90C20" w:rsidRPr="00D62315">
        <w:rPr>
          <w:color w:val="3B3838" w:themeColor="background2" w:themeShade="40"/>
          <w:sz w:val="24"/>
          <w:szCs w:val="24"/>
        </w:rPr>
        <w:t xml:space="preserve"> across all areas of the United Kingdom</w:t>
      </w:r>
      <w:r w:rsidR="00FE58F4" w:rsidRPr="00D62315">
        <w:rPr>
          <w:color w:val="3B3838" w:themeColor="background2" w:themeShade="40"/>
          <w:sz w:val="24"/>
          <w:szCs w:val="24"/>
        </w:rPr>
        <w:t xml:space="preserve"> and will have three key areas:</w:t>
      </w:r>
    </w:p>
    <w:p w14:paraId="65805E37" w14:textId="77777777" w:rsidR="00D62315" w:rsidRPr="00D62315" w:rsidRDefault="00D62315" w:rsidP="00AA5083">
      <w:pPr>
        <w:spacing w:after="0" w:line="240" w:lineRule="auto"/>
        <w:textAlignment w:val="baseline"/>
        <w:rPr>
          <w:color w:val="3B3838" w:themeColor="background2" w:themeShade="40"/>
          <w:sz w:val="24"/>
          <w:szCs w:val="24"/>
        </w:rPr>
      </w:pPr>
    </w:p>
    <w:p w14:paraId="2F97D2D7" w14:textId="0B0DD9C1" w:rsidR="00FE58F4" w:rsidRPr="00D62315" w:rsidRDefault="00FE58F4" w:rsidP="00FE58F4">
      <w:pPr>
        <w:pStyle w:val="ListParagraph"/>
        <w:numPr>
          <w:ilvl w:val="0"/>
          <w:numId w:val="3"/>
        </w:numPr>
        <w:spacing w:after="0" w:line="240" w:lineRule="auto"/>
        <w:textAlignment w:val="baseline"/>
        <w:rPr>
          <w:rFonts w:ascii="Calibri" w:eastAsia="Times New Roman" w:hAnsi="Calibri" w:cs="Calibri"/>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 xml:space="preserve">Regional allocations and delivery through regions: Most of the delivery will be controlled on a regional basis enabling areas discretion and flexibility to meet specific </w:t>
      </w:r>
      <w:r w:rsidR="00A73757" w:rsidRPr="00D62315">
        <w:rPr>
          <w:rFonts w:ascii="Calibri" w:eastAsia="Times New Roman" w:hAnsi="Calibri" w:cs="Calibri"/>
          <w:color w:val="3B3838" w:themeColor="background2" w:themeShade="40"/>
          <w:sz w:val="24"/>
          <w:szCs w:val="24"/>
          <w:lang w:eastAsia="en-GB"/>
        </w:rPr>
        <w:t>regional</w:t>
      </w:r>
      <w:r w:rsidRPr="00D62315">
        <w:rPr>
          <w:rFonts w:ascii="Calibri" w:eastAsia="Times New Roman" w:hAnsi="Calibri" w:cs="Calibri"/>
          <w:color w:val="3B3838" w:themeColor="background2" w:themeShade="40"/>
          <w:sz w:val="24"/>
          <w:szCs w:val="24"/>
          <w:lang w:eastAsia="en-GB"/>
        </w:rPr>
        <w:t xml:space="preserve"> needs.</w:t>
      </w:r>
    </w:p>
    <w:p w14:paraId="6E80550C" w14:textId="5AD1CF49" w:rsidR="00FE58F4" w:rsidRPr="00D62315" w:rsidRDefault="00FE58F4" w:rsidP="00FE58F4">
      <w:pPr>
        <w:pStyle w:val="ListParagraph"/>
        <w:numPr>
          <w:ilvl w:val="0"/>
          <w:numId w:val="3"/>
        </w:numPr>
        <w:spacing w:after="0" w:line="240" w:lineRule="auto"/>
        <w:textAlignment w:val="baseline"/>
        <w:rPr>
          <w:rFonts w:ascii="Calibri" w:eastAsia="Times New Roman" w:hAnsi="Calibri" w:cs="Calibri"/>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A digital platform to help develop numeracy skills.</w:t>
      </w:r>
    </w:p>
    <w:p w14:paraId="4C4BB07C" w14:textId="391A2C3B" w:rsidR="00FE58F4" w:rsidRPr="00D62315" w:rsidRDefault="00FE58F4" w:rsidP="00FE58F4">
      <w:pPr>
        <w:pStyle w:val="ListParagraph"/>
        <w:numPr>
          <w:ilvl w:val="0"/>
          <w:numId w:val="3"/>
        </w:numPr>
        <w:spacing w:after="0" w:line="240" w:lineRule="auto"/>
        <w:textAlignment w:val="baseline"/>
        <w:rPr>
          <w:rFonts w:ascii="Calibri" w:eastAsia="Times New Roman" w:hAnsi="Calibri" w:cs="Calibri"/>
          <w:color w:val="3B3838" w:themeColor="background2" w:themeShade="40"/>
          <w:sz w:val="24"/>
          <w:szCs w:val="24"/>
          <w:lang w:eastAsia="en-GB"/>
        </w:rPr>
      </w:pPr>
      <w:r w:rsidRPr="00D62315">
        <w:rPr>
          <w:rFonts w:ascii="Calibri" w:eastAsia="Times New Roman" w:hAnsi="Calibri" w:cs="Calibri"/>
          <w:color w:val="3B3838" w:themeColor="background2" w:themeShade="40"/>
          <w:sz w:val="24"/>
          <w:szCs w:val="24"/>
          <w:lang w:eastAsia="en-GB"/>
        </w:rPr>
        <w:t>Development of an evidence base on what works for</w:t>
      </w:r>
      <w:r w:rsidR="006F68AF" w:rsidRPr="00D62315">
        <w:rPr>
          <w:rFonts w:ascii="Calibri" w:eastAsia="Times New Roman" w:hAnsi="Calibri" w:cs="Calibri"/>
          <w:color w:val="3B3838" w:themeColor="background2" w:themeShade="40"/>
          <w:sz w:val="24"/>
          <w:szCs w:val="24"/>
          <w:lang w:eastAsia="en-GB"/>
        </w:rPr>
        <w:t xml:space="preserve"> supporting</w:t>
      </w:r>
      <w:r w:rsidRPr="00D62315">
        <w:rPr>
          <w:rFonts w:ascii="Calibri" w:eastAsia="Times New Roman" w:hAnsi="Calibri" w:cs="Calibri"/>
          <w:color w:val="3B3838" w:themeColor="background2" w:themeShade="40"/>
          <w:sz w:val="24"/>
          <w:szCs w:val="24"/>
          <w:lang w:eastAsia="en-GB"/>
        </w:rPr>
        <w:t xml:space="preserve"> adult numeracy</w:t>
      </w:r>
    </w:p>
    <w:p w14:paraId="58108668" w14:textId="77777777" w:rsidR="00341F64" w:rsidRPr="00D62315" w:rsidRDefault="00341F64" w:rsidP="00E4586C">
      <w:pPr>
        <w:spacing w:after="0"/>
        <w:rPr>
          <w:color w:val="3B3838" w:themeColor="background2" w:themeShade="40"/>
          <w:sz w:val="24"/>
          <w:szCs w:val="24"/>
        </w:rPr>
      </w:pPr>
    </w:p>
    <w:p w14:paraId="5AD2BC10" w14:textId="18827827" w:rsidR="008059DE" w:rsidRDefault="001B1F7B" w:rsidP="009A613C">
      <w:pPr>
        <w:pStyle w:val="Heading2"/>
      </w:pPr>
      <w:r w:rsidRPr="00595C97">
        <w:t xml:space="preserve">What We Need </w:t>
      </w:r>
      <w:proofErr w:type="gramStart"/>
      <w:r w:rsidRPr="00595C97">
        <w:t>To</w:t>
      </w:r>
      <w:proofErr w:type="gramEnd"/>
      <w:r w:rsidRPr="00595C97">
        <w:t xml:space="preserve"> Do:</w:t>
      </w:r>
    </w:p>
    <w:p w14:paraId="60482118" w14:textId="77777777" w:rsidR="009A613C" w:rsidRPr="009A613C" w:rsidRDefault="009A613C" w:rsidP="009A613C"/>
    <w:p w14:paraId="1D92D7E7" w14:textId="5F73DDDA" w:rsidR="0009460E" w:rsidRPr="00D62315" w:rsidRDefault="00D705C0" w:rsidP="0009460E">
      <w:pPr>
        <w:spacing w:after="0"/>
        <w:rPr>
          <w:color w:val="3B3838" w:themeColor="background2" w:themeShade="40"/>
          <w:sz w:val="24"/>
          <w:szCs w:val="24"/>
        </w:rPr>
      </w:pPr>
      <w:r w:rsidRPr="00D62315">
        <w:rPr>
          <w:color w:val="3B3838" w:themeColor="background2" w:themeShade="40"/>
          <w:sz w:val="24"/>
          <w:szCs w:val="24"/>
        </w:rPr>
        <w:t>T</w:t>
      </w:r>
      <w:r w:rsidR="00001212" w:rsidRPr="00D62315">
        <w:rPr>
          <w:color w:val="3B3838" w:themeColor="background2" w:themeShade="40"/>
          <w:sz w:val="24"/>
          <w:szCs w:val="24"/>
        </w:rPr>
        <w:t>h</w:t>
      </w:r>
      <w:r w:rsidR="00E53BAE" w:rsidRPr="00D62315">
        <w:rPr>
          <w:color w:val="3B3838" w:themeColor="background2" w:themeShade="40"/>
          <w:sz w:val="24"/>
          <w:szCs w:val="24"/>
        </w:rPr>
        <w:t>e West of England Com</w:t>
      </w:r>
      <w:r w:rsidR="00053DF3" w:rsidRPr="00D62315">
        <w:rPr>
          <w:color w:val="3B3838" w:themeColor="background2" w:themeShade="40"/>
          <w:sz w:val="24"/>
          <w:szCs w:val="24"/>
        </w:rPr>
        <w:t>bined Authority</w:t>
      </w:r>
      <w:r w:rsidRPr="00D62315">
        <w:rPr>
          <w:color w:val="3B3838" w:themeColor="background2" w:themeShade="40"/>
          <w:sz w:val="24"/>
          <w:szCs w:val="24"/>
        </w:rPr>
        <w:t xml:space="preserve"> (alongside other Combined Authorities)</w:t>
      </w:r>
      <w:r w:rsidR="00053DF3" w:rsidRPr="00D62315">
        <w:rPr>
          <w:color w:val="3B3838" w:themeColor="background2" w:themeShade="40"/>
          <w:sz w:val="24"/>
          <w:szCs w:val="24"/>
        </w:rPr>
        <w:t xml:space="preserve"> </w:t>
      </w:r>
      <w:r w:rsidRPr="00D62315">
        <w:rPr>
          <w:color w:val="3B3838" w:themeColor="background2" w:themeShade="40"/>
          <w:sz w:val="24"/>
          <w:szCs w:val="24"/>
        </w:rPr>
        <w:t xml:space="preserve">will be given a regional </w:t>
      </w:r>
      <w:r w:rsidR="00630EC2" w:rsidRPr="00D62315">
        <w:rPr>
          <w:color w:val="3B3838" w:themeColor="background2" w:themeShade="40"/>
          <w:sz w:val="24"/>
          <w:szCs w:val="24"/>
        </w:rPr>
        <w:t xml:space="preserve">Multiply </w:t>
      </w:r>
      <w:r w:rsidRPr="00D62315">
        <w:rPr>
          <w:color w:val="3B3838" w:themeColor="background2" w:themeShade="40"/>
          <w:sz w:val="24"/>
          <w:szCs w:val="24"/>
        </w:rPr>
        <w:t xml:space="preserve">allocation </w:t>
      </w:r>
      <w:r w:rsidR="006271F3" w:rsidRPr="00D62315">
        <w:rPr>
          <w:color w:val="3B3838" w:themeColor="background2" w:themeShade="40"/>
          <w:sz w:val="24"/>
          <w:szCs w:val="24"/>
        </w:rPr>
        <w:t>by the Department for Education</w:t>
      </w:r>
      <w:r w:rsidR="00630EC2" w:rsidRPr="00D62315">
        <w:rPr>
          <w:color w:val="3B3838" w:themeColor="background2" w:themeShade="40"/>
          <w:sz w:val="24"/>
          <w:szCs w:val="24"/>
        </w:rPr>
        <w:t xml:space="preserve"> </w:t>
      </w:r>
      <w:r w:rsidR="00395109" w:rsidRPr="00D62315">
        <w:rPr>
          <w:color w:val="3B3838" w:themeColor="background2" w:themeShade="40"/>
          <w:sz w:val="24"/>
          <w:szCs w:val="24"/>
        </w:rPr>
        <w:t>to support adults to improve their numeracy skills.</w:t>
      </w:r>
      <w:r w:rsidR="00A43FF4" w:rsidRPr="00D62315">
        <w:rPr>
          <w:color w:val="3B3838" w:themeColor="background2" w:themeShade="40"/>
          <w:sz w:val="24"/>
          <w:szCs w:val="24"/>
        </w:rPr>
        <w:t xml:space="preserve"> </w:t>
      </w:r>
      <w:r w:rsidR="00694C7C" w:rsidRPr="00D62315">
        <w:rPr>
          <w:color w:val="3B3838" w:themeColor="background2" w:themeShade="40"/>
          <w:sz w:val="24"/>
          <w:szCs w:val="24"/>
        </w:rPr>
        <w:t xml:space="preserve">We need to identify </w:t>
      </w:r>
      <w:r w:rsidR="00A3271D" w:rsidRPr="00D62315">
        <w:rPr>
          <w:color w:val="3B3838" w:themeColor="background2" w:themeShade="40"/>
          <w:sz w:val="24"/>
          <w:szCs w:val="24"/>
        </w:rPr>
        <w:t xml:space="preserve">the challenges that adults with low levels of </w:t>
      </w:r>
      <w:r w:rsidR="00BF279B" w:rsidRPr="00D62315">
        <w:rPr>
          <w:color w:val="3B3838" w:themeColor="background2" w:themeShade="40"/>
          <w:sz w:val="24"/>
          <w:szCs w:val="24"/>
        </w:rPr>
        <w:t xml:space="preserve">numeracy face to </w:t>
      </w:r>
      <w:r w:rsidR="000F501F" w:rsidRPr="00D62315">
        <w:rPr>
          <w:color w:val="3B3838" w:themeColor="background2" w:themeShade="40"/>
          <w:sz w:val="24"/>
          <w:szCs w:val="24"/>
        </w:rPr>
        <w:t xml:space="preserve">developing their skills alongside the solutions which </w:t>
      </w:r>
      <w:r w:rsidR="00B12EC8" w:rsidRPr="00D62315">
        <w:rPr>
          <w:color w:val="3B3838" w:themeColor="background2" w:themeShade="40"/>
          <w:sz w:val="24"/>
          <w:szCs w:val="24"/>
        </w:rPr>
        <w:t xml:space="preserve">will work in addressing these. </w:t>
      </w:r>
      <w:r w:rsidR="0009460E" w:rsidRPr="00D62315">
        <w:rPr>
          <w:color w:val="3B3838" w:themeColor="background2" w:themeShade="40"/>
          <w:sz w:val="24"/>
          <w:szCs w:val="24"/>
        </w:rPr>
        <w:t>Whatever approach</w:t>
      </w:r>
      <w:r w:rsidR="00B12EC8" w:rsidRPr="00D62315">
        <w:rPr>
          <w:color w:val="3B3838" w:themeColor="background2" w:themeShade="40"/>
          <w:sz w:val="24"/>
          <w:szCs w:val="24"/>
        </w:rPr>
        <w:t>es</w:t>
      </w:r>
      <w:r w:rsidR="0009460E" w:rsidRPr="00D62315">
        <w:rPr>
          <w:color w:val="3B3838" w:themeColor="background2" w:themeShade="40"/>
          <w:sz w:val="24"/>
          <w:szCs w:val="24"/>
        </w:rPr>
        <w:t xml:space="preserve"> we take must support and dovetail with existing skills and employment provision in the region critically including the devolved Adult </w:t>
      </w:r>
      <w:r w:rsidR="0009460E" w:rsidRPr="00D62315">
        <w:rPr>
          <w:color w:val="3B3838" w:themeColor="background2" w:themeShade="40"/>
          <w:sz w:val="24"/>
          <w:szCs w:val="24"/>
        </w:rPr>
        <w:lastRenderedPageBreak/>
        <w:t>Education Budget (both Community Learning and Adult Skills). We want to build on and enhance successful delivery, not complicate and compete with existing provision.</w:t>
      </w:r>
    </w:p>
    <w:p w14:paraId="522CD922" w14:textId="77777777" w:rsidR="0009460E" w:rsidRPr="00D62315" w:rsidRDefault="0009460E" w:rsidP="00E4586C">
      <w:pPr>
        <w:spacing w:after="0"/>
        <w:rPr>
          <w:color w:val="3B3838" w:themeColor="background2" w:themeShade="40"/>
          <w:sz w:val="24"/>
          <w:szCs w:val="24"/>
        </w:rPr>
      </w:pPr>
    </w:p>
    <w:p w14:paraId="39DDE3FA" w14:textId="3C6700AF" w:rsidR="006C1DE8" w:rsidRPr="00D62315" w:rsidRDefault="00914D55" w:rsidP="00E4586C">
      <w:pPr>
        <w:spacing w:after="0"/>
        <w:rPr>
          <w:color w:val="3B3838" w:themeColor="background2" w:themeShade="40"/>
          <w:sz w:val="24"/>
          <w:szCs w:val="24"/>
        </w:rPr>
      </w:pPr>
      <w:r w:rsidRPr="00D62315">
        <w:rPr>
          <w:color w:val="3B3838" w:themeColor="background2" w:themeShade="40"/>
          <w:sz w:val="24"/>
          <w:szCs w:val="24"/>
        </w:rPr>
        <w:t xml:space="preserve">Underpinning this work should be a solid base of </w:t>
      </w:r>
      <w:r w:rsidR="00BF33F0" w:rsidRPr="00D62315">
        <w:rPr>
          <w:color w:val="3B3838" w:themeColor="background2" w:themeShade="40"/>
          <w:sz w:val="24"/>
          <w:szCs w:val="24"/>
        </w:rPr>
        <w:t xml:space="preserve">evidence </w:t>
      </w:r>
      <w:r w:rsidR="00DF3508" w:rsidRPr="00D62315">
        <w:rPr>
          <w:color w:val="3B3838" w:themeColor="background2" w:themeShade="40"/>
          <w:sz w:val="24"/>
          <w:szCs w:val="24"/>
        </w:rPr>
        <w:t>base and w</w:t>
      </w:r>
      <w:r w:rsidR="00395109" w:rsidRPr="00D62315">
        <w:rPr>
          <w:color w:val="3B3838" w:themeColor="background2" w:themeShade="40"/>
          <w:sz w:val="24"/>
          <w:szCs w:val="24"/>
        </w:rPr>
        <w:t xml:space="preserve">e </w:t>
      </w:r>
      <w:r w:rsidR="00761EA3" w:rsidRPr="00D62315">
        <w:rPr>
          <w:color w:val="3B3838" w:themeColor="background2" w:themeShade="40"/>
          <w:sz w:val="24"/>
          <w:szCs w:val="24"/>
        </w:rPr>
        <w:t>want to work with a range of organisations to</w:t>
      </w:r>
      <w:r w:rsidR="00395109" w:rsidRPr="00D62315">
        <w:rPr>
          <w:color w:val="3B3838" w:themeColor="background2" w:themeShade="40"/>
          <w:sz w:val="24"/>
          <w:szCs w:val="24"/>
        </w:rPr>
        <w:t xml:space="preserve"> </w:t>
      </w:r>
      <w:r w:rsidR="00633493" w:rsidRPr="00D62315">
        <w:rPr>
          <w:color w:val="3B3838" w:themeColor="background2" w:themeShade="40"/>
          <w:sz w:val="24"/>
          <w:szCs w:val="24"/>
        </w:rPr>
        <w:t xml:space="preserve">develop our understanding </w:t>
      </w:r>
      <w:r w:rsidR="0039525A" w:rsidRPr="00D62315">
        <w:rPr>
          <w:color w:val="3B3838" w:themeColor="background2" w:themeShade="40"/>
          <w:sz w:val="24"/>
          <w:szCs w:val="24"/>
        </w:rPr>
        <w:t xml:space="preserve">of the scale, causes and </w:t>
      </w:r>
      <w:r w:rsidR="00161C09" w:rsidRPr="00D62315">
        <w:rPr>
          <w:color w:val="3B3838" w:themeColor="background2" w:themeShade="40"/>
          <w:sz w:val="24"/>
          <w:szCs w:val="24"/>
        </w:rPr>
        <w:t xml:space="preserve">design of </w:t>
      </w:r>
      <w:r w:rsidR="0039525A" w:rsidRPr="00D62315">
        <w:rPr>
          <w:color w:val="3B3838" w:themeColor="background2" w:themeShade="40"/>
          <w:sz w:val="24"/>
          <w:szCs w:val="24"/>
        </w:rPr>
        <w:t xml:space="preserve">potential </w:t>
      </w:r>
      <w:r w:rsidR="00D6780B" w:rsidRPr="00D62315">
        <w:rPr>
          <w:color w:val="3B3838" w:themeColor="background2" w:themeShade="40"/>
          <w:sz w:val="24"/>
          <w:szCs w:val="24"/>
        </w:rPr>
        <w:t>solutions</w:t>
      </w:r>
      <w:r w:rsidR="00545BE6" w:rsidRPr="00D62315">
        <w:rPr>
          <w:color w:val="3B3838" w:themeColor="background2" w:themeShade="40"/>
          <w:sz w:val="24"/>
          <w:szCs w:val="24"/>
        </w:rPr>
        <w:t xml:space="preserve"> to low adult numeracy skills in the region. This will help us de</w:t>
      </w:r>
      <w:r w:rsidR="007F0735" w:rsidRPr="00D62315">
        <w:rPr>
          <w:color w:val="3B3838" w:themeColor="background2" w:themeShade="40"/>
          <w:sz w:val="24"/>
          <w:szCs w:val="24"/>
        </w:rPr>
        <w:t>sign</w:t>
      </w:r>
      <w:r w:rsidR="009A55C8" w:rsidRPr="00D62315">
        <w:rPr>
          <w:color w:val="3B3838" w:themeColor="background2" w:themeShade="40"/>
          <w:sz w:val="24"/>
          <w:szCs w:val="24"/>
        </w:rPr>
        <w:t xml:space="preserve"> and</w:t>
      </w:r>
      <w:r w:rsidR="00545BE6" w:rsidRPr="00D62315">
        <w:rPr>
          <w:color w:val="3B3838" w:themeColor="background2" w:themeShade="40"/>
          <w:sz w:val="24"/>
          <w:szCs w:val="24"/>
        </w:rPr>
        <w:t xml:space="preserve"> agree a</w:t>
      </w:r>
      <w:r w:rsidR="004C35F4" w:rsidRPr="00D62315">
        <w:rPr>
          <w:color w:val="3B3838" w:themeColor="background2" w:themeShade="40"/>
          <w:sz w:val="24"/>
          <w:szCs w:val="24"/>
        </w:rPr>
        <w:t>n</w:t>
      </w:r>
      <w:r w:rsidR="00545BE6" w:rsidRPr="00D62315">
        <w:rPr>
          <w:color w:val="3B3838" w:themeColor="background2" w:themeShade="40"/>
          <w:sz w:val="24"/>
          <w:szCs w:val="24"/>
        </w:rPr>
        <w:t xml:space="preserve"> approach which </w:t>
      </w:r>
      <w:r w:rsidR="004E1F7D" w:rsidRPr="00D62315">
        <w:rPr>
          <w:color w:val="3B3838" w:themeColor="background2" w:themeShade="40"/>
          <w:sz w:val="24"/>
          <w:szCs w:val="24"/>
        </w:rPr>
        <w:t xml:space="preserve">successfully </w:t>
      </w:r>
      <w:r w:rsidR="008B3488" w:rsidRPr="00D62315">
        <w:rPr>
          <w:color w:val="3B3838" w:themeColor="background2" w:themeShade="40"/>
          <w:sz w:val="24"/>
          <w:szCs w:val="24"/>
        </w:rPr>
        <w:t>address</w:t>
      </w:r>
      <w:r w:rsidR="00A33B89" w:rsidRPr="00D62315">
        <w:rPr>
          <w:color w:val="3B3838" w:themeColor="background2" w:themeShade="40"/>
          <w:sz w:val="24"/>
          <w:szCs w:val="24"/>
        </w:rPr>
        <w:t>es</w:t>
      </w:r>
      <w:r w:rsidR="008B3488" w:rsidRPr="00D62315">
        <w:rPr>
          <w:color w:val="3B3838" w:themeColor="background2" w:themeShade="40"/>
          <w:sz w:val="24"/>
          <w:szCs w:val="24"/>
        </w:rPr>
        <w:t xml:space="preserve"> the specific challenges we face as a region</w:t>
      </w:r>
      <w:r w:rsidR="004E1F7D" w:rsidRPr="00D62315">
        <w:rPr>
          <w:color w:val="3B3838" w:themeColor="background2" w:themeShade="40"/>
          <w:sz w:val="24"/>
          <w:szCs w:val="24"/>
        </w:rPr>
        <w:t xml:space="preserve"> </w:t>
      </w:r>
      <w:r w:rsidR="009A55C8" w:rsidRPr="00D62315">
        <w:rPr>
          <w:color w:val="3B3838" w:themeColor="background2" w:themeShade="40"/>
          <w:sz w:val="24"/>
          <w:szCs w:val="24"/>
        </w:rPr>
        <w:t xml:space="preserve">and </w:t>
      </w:r>
      <w:r w:rsidR="004E1F7D" w:rsidRPr="00D62315">
        <w:rPr>
          <w:color w:val="3B3838" w:themeColor="background2" w:themeShade="40"/>
          <w:sz w:val="24"/>
          <w:szCs w:val="24"/>
        </w:rPr>
        <w:t>which we can then use our funding to deliver</w:t>
      </w:r>
      <w:r w:rsidR="00190CF7" w:rsidRPr="00D62315">
        <w:rPr>
          <w:color w:val="3B3838" w:themeColor="background2" w:themeShade="40"/>
          <w:sz w:val="24"/>
          <w:szCs w:val="24"/>
        </w:rPr>
        <w:t>.</w:t>
      </w:r>
      <w:r w:rsidR="00470BCE" w:rsidRPr="00D62315">
        <w:rPr>
          <w:color w:val="3B3838" w:themeColor="background2" w:themeShade="40"/>
          <w:sz w:val="24"/>
          <w:szCs w:val="24"/>
        </w:rPr>
        <w:t xml:space="preserve"> We do have starting points </w:t>
      </w:r>
      <w:r w:rsidR="00875F5D" w:rsidRPr="00D62315">
        <w:rPr>
          <w:color w:val="3B3838" w:themeColor="background2" w:themeShade="40"/>
          <w:sz w:val="24"/>
          <w:szCs w:val="24"/>
        </w:rPr>
        <w:t xml:space="preserve">and the data </w:t>
      </w:r>
      <w:r w:rsidR="00EC6779" w:rsidRPr="00D62315">
        <w:rPr>
          <w:color w:val="3B3838" w:themeColor="background2" w:themeShade="40"/>
          <w:sz w:val="24"/>
          <w:szCs w:val="24"/>
        </w:rPr>
        <w:t xml:space="preserve">at the end of this document </w:t>
      </w:r>
      <w:r w:rsidR="00875F5D" w:rsidRPr="00D62315">
        <w:rPr>
          <w:color w:val="3B3838" w:themeColor="background2" w:themeShade="40"/>
          <w:sz w:val="24"/>
          <w:szCs w:val="24"/>
        </w:rPr>
        <w:t>broadly illustrates some of the key issues</w:t>
      </w:r>
      <w:r w:rsidR="008C51FB" w:rsidRPr="00D62315">
        <w:rPr>
          <w:color w:val="3B3838" w:themeColor="background2" w:themeShade="40"/>
          <w:sz w:val="24"/>
          <w:szCs w:val="24"/>
        </w:rPr>
        <w:t>. However</w:t>
      </w:r>
      <w:r w:rsidR="00867C3B" w:rsidRPr="00D62315">
        <w:rPr>
          <w:color w:val="3B3838" w:themeColor="background2" w:themeShade="40"/>
          <w:sz w:val="24"/>
          <w:szCs w:val="24"/>
        </w:rPr>
        <w:t>,</w:t>
      </w:r>
      <w:r w:rsidR="008C51FB" w:rsidRPr="00D62315">
        <w:rPr>
          <w:color w:val="3B3838" w:themeColor="background2" w:themeShade="40"/>
          <w:sz w:val="24"/>
          <w:szCs w:val="24"/>
        </w:rPr>
        <w:t xml:space="preserve"> this is </w:t>
      </w:r>
      <w:r w:rsidR="00867C3B" w:rsidRPr="00D62315">
        <w:rPr>
          <w:color w:val="3B3838" w:themeColor="background2" w:themeShade="40"/>
          <w:sz w:val="24"/>
          <w:szCs w:val="24"/>
        </w:rPr>
        <w:t xml:space="preserve">only </w:t>
      </w:r>
      <w:r w:rsidR="00EC6779" w:rsidRPr="00D62315">
        <w:rPr>
          <w:color w:val="3B3838" w:themeColor="background2" w:themeShade="40"/>
          <w:sz w:val="24"/>
          <w:szCs w:val="24"/>
        </w:rPr>
        <w:t xml:space="preserve">a </w:t>
      </w:r>
      <w:r w:rsidR="008C51FB" w:rsidRPr="00D62315">
        <w:rPr>
          <w:color w:val="3B3838" w:themeColor="background2" w:themeShade="40"/>
          <w:sz w:val="24"/>
          <w:szCs w:val="24"/>
        </w:rPr>
        <w:t>starting point</w:t>
      </w:r>
      <w:r w:rsidR="00EC6779" w:rsidRPr="00D62315">
        <w:rPr>
          <w:color w:val="3B3838" w:themeColor="background2" w:themeShade="40"/>
          <w:sz w:val="24"/>
          <w:szCs w:val="24"/>
        </w:rPr>
        <w:t xml:space="preserve"> and we need to </w:t>
      </w:r>
      <w:r w:rsidR="00867C3B" w:rsidRPr="00D62315">
        <w:rPr>
          <w:color w:val="3B3838" w:themeColor="background2" w:themeShade="40"/>
          <w:sz w:val="24"/>
          <w:szCs w:val="24"/>
        </w:rPr>
        <w:t xml:space="preserve">access the expertise, knowledge and skills or a range of people and organisations to </w:t>
      </w:r>
      <w:r w:rsidR="00EC6779" w:rsidRPr="00D62315">
        <w:rPr>
          <w:color w:val="3B3838" w:themeColor="background2" w:themeShade="40"/>
          <w:sz w:val="24"/>
          <w:szCs w:val="24"/>
        </w:rPr>
        <w:t xml:space="preserve">develop regional and local information to </w:t>
      </w:r>
      <w:r w:rsidR="003F2270" w:rsidRPr="00D62315">
        <w:rPr>
          <w:color w:val="3B3838" w:themeColor="background2" w:themeShade="40"/>
          <w:sz w:val="24"/>
          <w:szCs w:val="24"/>
        </w:rPr>
        <w:t>craft an effective programme of activity.</w:t>
      </w:r>
      <w:r w:rsidR="00875F5D" w:rsidRPr="00D62315">
        <w:rPr>
          <w:color w:val="3B3838" w:themeColor="background2" w:themeShade="40"/>
          <w:sz w:val="24"/>
          <w:szCs w:val="24"/>
        </w:rPr>
        <w:t xml:space="preserve"> </w:t>
      </w:r>
    </w:p>
    <w:p w14:paraId="07693E84" w14:textId="77777777" w:rsidR="0025426D" w:rsidRPr="00D62315" w:rsidRDefault="0025426D" w:rsidP="00E4586C">
      <w:pPr>
        <w:spacing w:after="0"/>
        <w:rPr>
          <w:color w:val="3B3838" w:themeColor="background2" w:themeShade="40"/>
          <w:sz w:val="24"/>
          <w:szCs w:val="24"/>
        </w:rPr>
      </w:pPr>
    </w:p>
    <w:p w14:paraId="0A56E7EF" w14:textId="1C7E5A77" w:rsidR="00E924A7" w:rsidRPr="00261536" w:rsidRDefault="005B1D74" w:rsidP="00261536">
      <w:pPr>
        <w:spacing w:after="0"/>
        <w:rPr>
          <w:sz w:val="24"/>
          <w:szCs w:val="24"/>
        </w:rPr>
      </w:pPr>
      <w:r w:rsidRPr="00D62315">
        <w:rPr>
          <w:color w:val="3B3838" w:themeColor="background2" w:themeShade="40"/>
          <w:sz w:val="24"/>
          <w:szCs w:val="24"/>
        </w:rPr>
        <w:t xml:space="preserve">This proforma is the first stage </w:t>
      </w:r>
      <w:r w:rsidR="00C7325F" w:rsidRPr="00D62315">
        <w:rPr>
          <w:color w:val="3B3838" w:themeColor="background2" w:themeShade="40"/>
          <w:sz w:val="24"/>
          <w:szCs w:val="24"/>
        </w:rPr>
        <w:t>in our approach</w:t>
      </w:r>
      <w:r w:rsidR="00946B68" w:rsidRPr="00D62315">
        <w:rPr>
          <w:color w:val="3B3838" w:themeColor="background2" w:themeShade="40"/>
          <w:sz w:val="24"/>
          <w:szCs w:val="24"/>
        </w:rPr>
        <w:t>.</w:t>
      </w:r>
      <w:r w:rsidR="00BE69BE" w:rsidRPr="00D62315">
        <w:rPr>
          <w:color w:val="3B3838" w:themeColor="background2" w:themeShade="40"/>
          <w:sz w:val="24"/>
          <w:szCs w:val="24"/>
        </w:rPr>
        <w:t xml:space="preserve"> </w:t>
      </w:r>
      <w:r w:rsidR="002F359D" w:rsidRPr="00D62315">
        <w:rPr>
          <w:color w:val="3B3838" w:themeColor="background2" w:themeShade="40"/>
          <w:sz w:val="24"/>
          <w:szCs w:val="24"/>
        </w:rPr>
        <w:t xml:space="preserve">Can you </w:t>
      </w:r>
      <w:r w:rsidR="007E472F" w:rsidRPr="00D62315">
        <w:rPr>
          <w:color w:val="3B3838" w:themeColor="background2" w:themeShade="40"/>
          <w:sz w:val="24"/>
          <w:szCs w:val="24"/>
        </w:rPr>
        <w:t xml:space="preserve">please provide as much relevant information, data </w:t>
      </w:r>
      <w:r w:rsidR="00624061" w:rsidRPr="00D62315">
        <w:rPr>
          <w:color w:val="3B3838" w:themeColor="background2" w:themeShade="40"/>
          <w:sz w:val="24"/>
          <w:szCs w:val="24"/>
        </w:rPr>
        <w:t>and intelligence</w:t>
      </w:r>
      <w:r w:rsidR="007E472F" w:rsidRPr="00D62315">
        <w:rPr>
          <w:color w:val="3B3838" w:themeColor="background2" w:themeShade="40"/>
          <w:sz w:val="24"/>
          <w:szCs w:val="24"/>
        </w:rPr>
        <w:t xml:space="preserve"> </w:t>
      </w:r>
      <w:r w:rsidR="009A7337" w:rsidRPr="00D62315">
        <w:rPr>
          <w:color w:val="3B3838" w:themeColor="background2" w:themeShade="40"/>
          <w:sz w:val="24"/>
          <w:szCs w:val="24"/>
        </w:rPr>
        <w:t xml:space="preserve">as you can </w:t>
      </w:r>
      <w:r w:rsidR="00624061" w:rsidRPr="00D62315">
        <w:rPr>
          <w:color w:val="3B3838" w:themeColor="background2" w:themeShade="40"/>
          <w:sz w:val="24"/>
          <w:szCs w:val="24"/>
        </w:rPr>
        <w:t xml:space="preserve">against the questions that are asked on the following </w:t>
      </w:r>
      <w:r w:rsidR="00000BB4" w:rsidRPr="00D62315">
        <w:rPr>
          <w:color w:val="3B3838" w:themeColor="background2" w:themeShade="40"/>
          <w:sz w:val="24"/>
          <w:szCs w:val="24"/>
        </w:rPr>
        <w:t>pages and return this to</w:t>
      </w:r>
      <w:r w:rsidR="007414B7" w:rsidRPr="00D62315">
        <w:rPr>
          <w:color w:val="3B3838" w:themeColor="background2" w:themeShade="40"/>
          <w:sz w:val="24"/>
          <w:szCs w:val="24"/>
        </w:rPr>
        <w:t xml:space="preserve"> </w:t>
      </w:r>
      <w:hyperlink r:id="rId10">
        <w:r w:rsidR="007414B7" w:rsidRPr="00D62315">
          <w:rPr>
            <w:rStyle w:val="Hyperlink"/>
            <w:b/>
            <w:bCs/>
            <w:color w:val="2F5496" w:themeColor="accent1" w:themeShade="BF"/>
            <w:sz w:val="24"/>
            <w:szCs w:val="24"/>
          </w:rPr>
          <w:t>skills@westofengland-ca.gov.uk</w:t>
        </w:r>
      </w:hyperlink>
      <w:r w:rsidR="007414B7" w:rsidRPr="00D62315">
        <w:rPr>
          <w:b/>
          <w:bCs/>
          <w:color w:val="3B3838" w:themeColor="background2" w:themeShade="40"/>
          <w:sz w:val="24"/>
          <w:szCs w:val="24"/>
        </w:rPr>
        <w:t xml:space="preserve"> </w:t>
      </w:r>
      <w:r w:rsidR="00341F64" w:rsidRPr="00D62315">
        <w:rPr>
          <w:color w:val="3B3838" w:themeColor="background2" w:themeShade="40"/>
          <w:sz w:val="24"/>
          <w:szCs w:val="24"/>
        </w:rPr>
        <w:t xml:space="preserve">by </w:t>
      </w:r>
      <w:r w:rsidR="00FC03F1" w:rsidRPr="00D62315">
        <w:rPr>
          <w:b/>
          <w:bCs/>
          <w:color w:val="3B3838" w:themeColor="background2" w:themeShade="40"/>
          <w:sz w:val="24"/>
          <w:szCs w:val="24"/>
        </w:rPr>
        <w:t>Fri</w:t>
      </w:r>
      <w:r w:rsidR="008569F4" w:rsidRPr="00D62315">
        <w:rPr>
          <w:b/>
          <w:bCs/>
          <w:color w:val="3B3838" w:themeColor="background2" w:themeShade="40"/>
          <w:sz w:val="24"/>
          <w:szCs w:val="24"/>
        </w:rPr>
        <w:t xml:space="preserve">day </w:t>
      </w:r>
      <w:r w:rsidR="001D224A" w:rsidRPr="00D62315">
        <w:rPr>
          <w:b/>
          <w:bCs/>
          <w:color w:val="3B3838" w:themeColor="background2" w:themeShade="40"/>
          <w:sz w:val="24"/>
          <w:szCs w:val="24"/>
        </w:rPr>
        <w:t>the 2</w:t>
      </w:r>
      <w:r w:rsidR="00FC03F1" w:rsidRPr="00D62315">
        <w:rPr>
          <w:b/>
          <w:bCs/>
          <w:color w:val="3B3838" w:themeColor="background2" w:themeShade="40"/>
          <w:sz w:val="24"/>
          <w:szCs w:val="24"/>
        </w:rPr>
        <w:t>9</w:t>
      </w:r>
      <w:r w:rsidR="001D224A" w:rsidRPr="00D62315">
        <w:rPr>
          <w:b/>
          <w:bCs/>
          <w:color w:val="3B3838" w:themeColor="background2" w:themeShade="40"/>
          <w:sz w:val="24"/>
          <w:szCs w:val="24"/>
          <w:vertAlign w:val="superscript"/>
        </w:rPr>
        <w:t>th</w:t>
      </w:r>
      <w:r w:rsidR="001D224A" w:rsidRPr="00D62315">
        <w:rPr>
          <w:b/>
          <w:bCs/>
          <w:color w:val="3B3838" w:themeColor="background2" w:themeShade="40"/>
          <w:sz w:val="24"/>
          <w:szCs w:val="24"/>
        </w:rPr>
        <w:t xml:space="preserve"> April</w:t>
      </w:r>
      <w:r w:rsidR="008569F4" w:rsidRPr="00D62315">
        <w:rPr>
          <w:b/>
          <w:bCs/>
          <w:color w:val="3B3838" w:themeColor="background2" w:themeShade="40"/>
          <w:sz w:val="24"/>
          <w:szCs w:val="24"/>
        </w:rPr>
        <w:t xml:space="preserve"> </w:t>
      </w:r>
      <w:r w:rsidR="008569F4" w:rsidRPr="00D62315">
        <w:rPr>
          <w:color w:val="3B3838" w:themeColor="background2" w:themeShade="40"/>
          <w:sz w:val="24"/>
          <w:szCs w:val="24"/>
        </w:rPr>
        <w:t>(or earlier if you can)</w:t>
      </w:r>
      <w:r w:rsidR="00341F64" w:rsidRPr="00D62315">
        <w:rPr>
          <w:color w:val="3B3838" w:themeColor="background2" w:themeShade="40"/>
          <w:sz w:val="24"/>
          <w:szCs w:val="24"/>
        </w:rPr>
        <w:t xml:space="preserve">. Once we have compiled the responses </w:t>
      </w:r>
      <w:r w:rsidR="00E119EA" w:rsidRPr="00D62315">
        <w:rPr>
          <w:color w:val="3B3838" w:themeColor="background2" w:themeShade="40"/>
          <w:sz w:val="24"/>
          <w:szCs w:val="24"/>
        </w:rPr>
        <w:t xml:space="preserve">we will then organise </w:t>
      </w:r>
      <w:r w:rsidR="00244ADA" w:rsidRPr="00D62315">
        <w:rPr>
          <w:color w:val="3B3838" w:themeColor="background2" w:themeShade="40"/>
          <w:sz w:val="24"/>
          <w:szCs w:val="24"/>
        </w:rPr>
        <w:t xml:space="preserve">some focus groups to provide an opportunity to discuss </w:t>
      </w:r>
      <w:r w:rsidR="00E924A7" w:rsidRPr="00D62315">
        <w:rPr>
          <w:color w:val="3B3838" w:themeColor="background2" w:themeShade="40"/>
          <w:sz w:val="24"/>
          <w:szCs w:val="24"/>
        </w:rPr>
        <w:t>this in more detail.</w:t>
      </w:r>
      <w:r w:rsidR="002F359D">
        <w:br w:type="page"/>
      </w:r>
    </w:p>
    <w:p w14:paraId="4E0E3A8B" w14:textId="60E8F4F8" w:rsidR="00E924A7" w:rsidRPr="00BA3505" w:rsidRDefault="00E924A7" w:rsidP="00105FA8">
      <w:pPr>
        <w:spacing w:after="0"/>
        <w:rPr>
          <w:color w:val="3B3838" w:themeColor="background2" w:themeShade="40"/>
        </w:rPr>
      </w:pPr>
    </w:p>
    <w:p w14:paraId="640AAEC0" w14:textId="08DEE1BB" w:rsidR="00E924A7" w:rsidRPr="00BA3505" w:rsidRDefault="00E924A7" w:rsidP="00105FA8">
      <w:pPr>
        <w:spacing w:after="0"/>
        <w:rPr>
          <w:color w:val="3B3838" w:themeColor="background2" w:themeShade="40"/>
        </w:rPr>
      </w:pPr>
    </w:p>
    <w:tbl>
      <w:tblPr>
        <w:tblStyle w:val="TableGrid"/>
        <w:tblW w:w="0" w:type="auto"/>
        <w:tblLook w:val="04A0" w:firstRow="1" w:lastRow="0" w:firstColumn="1" w:lastColumn="0" w:noHBand="0" w:noVBand="1"/>
      </w:tblPr>
      <w:tblGrid>
        <w:gridCol w:w="9016"/>
      </w:tblGrid>
      <w:tr w:rsidR="00BA3505" w:rsidRPr="00BA3505" w14:paraId="0163AB37" w14:textId="77777777" w:rsidTr="30377470">
        <w:tc>
          <w:tcPr>
            <w:tcW w:w="9016" w:type="dxa"/>
            <w:shd w:val="clear" w:color="auto" w:fill="D9D9D9" w:themeFill="background1" w:themeFillShade="D9"/>
          </w:tcPr>
          <w:p w14:paraId="304F919B" w14:textId="008D94FE" w:rsidR="009F1381" w:rsidRPr="00BA3505" w:rsidRDefault="008320B0" w:rsidP="00105FA8">
            <w:pPr>
              <w:rPr>
                <w:color w:val="3B3838" w:themeColor="background2" w:themeShade="40"/>
                <w:sz w:val="24"/>
                <w:szCs w:val="24"/>
              </w:rPr>
            </w:pPr>
            <w:r w:rsidRPr="00BA3505">
              <w:rPr>
                <w:b/>
                <w:bCs/>
                <w:color w:val="3B3838" w:themeColor="background2" w:themeShade="40"/>
                <w:sz w:val="24"/>
                <w:szCs w:val="24"/>
              </w:rPr>
              <w:t xml:space="preserve">Understanding the Scale of </w:t>
            </w:r>
            <w:r w:rsidR="00987EEB" w:rsidRPr="00BA3505">
              <w:rPr>
                <w:b/>
                <w:bCs/>
                <w:color w:val="3B3838" w:themeColor="background2" w:themeShade="40"/>
                <w:sz w:val="24"/>
                <w:szCs w:val="24"/>
              </w:rPr>
              <w:t xml:space="preserve">the </w:t>
            </w:r>
            <w:r w:rsidRPr="00BA3505">
              <w:rPr>
                <w:b/>
                <w:bCs/>
                <w:color w:val="3B3838" w:themeColor="background2" w:themeShade="40"/>
                <w:sz w:val="24"/>
                <w:szCs w:val="24"/>
              </w:rPr>
              <w:t xml:space="preserve">Challenge of </w:t>
            </w:r>
            <w:r w:rsidR="002E01E2" w:rsidRPr="00BA3505">
              <w:rPr>
                <w:b/>
                <w:bCs/>
                <w:color w:val="3B3838" w:themeColor="background2" w:themeShade="40"/>
                <w:sz w:val="24"/>
                <w:szCs w:val="24"/>
              </w:rPr>
              <w:t xml:space="preserve">Adults with </w:t>
            </w:r>
            <w:r w:rsidRPr="00BA3505">
              <w:rPr>
                <w:b/>
                <w:bCs/>
                <w:color w:val="3B3838" w:themeColor="background2" w:themeShade="40"/>
                <w:sz w:val="24"/>
                <w:szCs w:val="24"/>
              </w:rPr>
              <w:t xml:space="preserve">Low </w:t>
            </w:r>
            <w:r w:rsidR="002E01E2" w:rsidRPr="00BA3505">
              <w:rPr>
                <w:b/>
                <w:bCs/>
                <w:color w:val="3B3838" w:themeColor="background2" w:themeShade="40"/>
                <w:sz w:val="24"/>
                <w:szCs w:val="24"/>
              </w:rPr>
              <w:t>Numeracy Skills Levels</w:t>
            </w:r>
          </w:p>
          <w:p w14:paraId="32F11DB6" w14:textId="3E97D63E" w:rsidR="002E01E2" w:rsidRPr="00BA3505" w:rsidRDefault="00D33754" w:rsidP="000879F9">
            <w:pPr>
              <w:pStyle w:val="ListParagraph"/>
              <w:numPr>
                <w:ilvl w:val="0"/>
                <w:numId w:val="5"/>
              </w:numPr>
              <w:rPr>
                <w:color w:val="3B3838" w:themeColor="background2" w:themeShade="40"/>
                <w:sz w:val="24"/>
                <w:szCs w:val="24"/>
              </w:rPr>
            </w:pPr>
            <w:r w:rsidRPr="00BA3505">
              <w:rPr>
                <w:color w:val="3B3838" w:themeColor="background2" w:themeShade="40"/>
                <w:sz w:val="24"/>
                <w:szCs w:val="24"/>
              </w:rPr>
              <w:t>Please explain your understanding</w:t>
            </w:r>
            <w:r w:rsidR="00FA33F3" w:rsidRPr="00BA3505">
              <w:rPr>
                <w:color w:val="3B3838" w:themeColor="background2" w:themeShade="40"/>
                <w:sz w:val="24"/>
                <w:szCs w:val="24"/>
              </w:rPr>
              <w:t>, and experience,</w:t>
            </w:r>
            <w:r w:rsidRPr="00BA3505">
              <w:rPr>
                <w:color w:val="3B3838" w:themeColor="background2" w:themeShade="40"/>
                <w:sz w:val="24"/>
                <w:szCs w:val="24"/>
              </w:rPr>
              <w:t xml:space="preserve"> of how many </w:t>
            </w:r>
            <w:r w:rsidR="00E07847" w:rsidRPr="00BA3505">
              <w:rPr>
                <w:color w:val="3B3838" w:themeColor="background2" w:themeShade="40"/>
                <w:sz w:val="24"/>
                <w:szCs w:val="24"/>
              </w:rPr>
              <w:t>adults have low numeracy skills levels (</w:t>
            </w:r>
            <w:proofErr w:type="gramStart"/>
            <w:r w:rsidR="00E07847" w:rsidRPr="00BA3505">
              <w:rPr>
                <w:color w:val="3B3838" w:themeColor="background2" w:themeShade="40"/>
                <w:sz w:val="24"/>
                <w:szCs w:val="24"/>
              </w:rPr>
              <w:t>i.e.</w:t>
            </w:r>
            <w:proofErr w:type="gramEnd"/>
            <w:r w:rsidR="00E07847" w:rsidRPr="00BA3505">
              <w:rPr>
                <w:color w:val="3B3838" w:themeColor="background2" w:themeShade="40"/>
                <w:sz w:val="24"/>
                <w:szCs w:val="24"/>
              </w:rPr>
              <w:t xml:space="preserve"> below a GCSE level) in the Combined Authority</w:t>
            </w:r>
            <w:r w:rsidR="15C6E03D" w:rsidRPr="00BA3505">
              <w:rPr>
                <w:color w:val="3B3838" w:themeColor="background2" w:themeShade="40"/>
                <w:sz w:val="24"/>
                <w:szCs w:val="24"/>
              </w:rPr>
              <w:t xml:space="preserve"> area</w:t>
            </w:r>
            <w:r w:rsidR="400AC9F6" w:rsidRPr="00BA3505">
              <w:rPr>
                <w:color w:val="3B3838" w:themeColor="background2" w:themeShade="40"/>
                <w:sz w:val="24"/>
                <w:szCs w:val="24"/>
              </w:rPr>
              <w:t>.</w:t>
            </w:r>
            <w:r w:rsidR="000879F9" w:rsidRPr="00BA3505">
              <w:rPr>
                <w:color w:val="3B3838" w:themeColor="background2" w:themeShade="40"/>
                <w:sz w:val="24"/>
                <w:szCs w:val="24"/>
              </w:rPr>
              <w:t xml:space="preserve"> This could be across the whole region or at a more local level</w:t>
            </w:r>
            <w:r w:rsidR="00362A49" w:rsidRPr="00BA3505">
              <w:rPr>
                <w:color w:val="3B3838" w:themeColor="background2" w:themeShade="40"/>
                <w:sz w:val="24"/>
                <w:szCs w:val="24"/>
              </w:rPr>
              <w:t xml:space="preserve"> (</w:t>
            </w:r>
            <w:r w:rsidR="00D7792B" w:rsidRPr="00BA3505">
              <w:rPr>
                <w:color w:val="3B3838" w:themeColor="background2" w:themeShade="40"/>
                <w:sz w:val="24"/>
                <w:szCs w:val="24"/>
              </w:rPr>
              <w:t xml:space="preserve">for instance in the different local authority areas of </w:t>
            </w:r>
            <w:r w:rsidR="00362A49" w:rsidRPr="00BA3505">
              <w:rPr>
                <w:color w:val="3B3838" w:themeColor="background2" w:themeShade="40"/>
                <w:sz w:val="24"/>
                <w:szCs w:val="24"/>
              </w:rPr>
              <w:t xml:space="preserve">Bath, </w:t>
            </w:r>
            <w:proofErr w:type="gramStart"/>
            <w:r w:rsidR="00362A49" w:rsidRPr="00BA3505">
              <w:rPr>
                <w:color w:val="3B3838" w:themeColor="background2" w:themeShade="40"/>
                <w:sz w:val="24"/>
                <w:szCs w:val="24"/>
              </w:rPr>
              <w:t>Bristol</w:t>
            </w:r>
            <w:proofErr w:type="gramEnd"/>
            <w:r w:rsidR="00362A49" w:rsidRPr="00BA3505">
              <w:rPr>
                <w:color w:val="3B3838" w:themeColor="background2" w:themeShade="40"/>
                <w:sz w:val="24"/>
                <w:szCs w:val="24"/>
              </w:rPr>
              <w:t xml:space="preserve"> and South Gloucestershire).</w:t>
            </w:r>
          </w:p>
          <w:p w14:paraId="5F29EFEC" w14:textId="77777777" w:rsidR="00A27145" w:rsidRPr="00BA3505" w:rsidRDefault="00A27145" w:rsidP="0032787F">
            <w:pPr>
              <w:pStyle w:val="ListParagraph"/>
              <w:numPr>
                <w:ilvl w:val="0"/>
                <w:numId w:val="5"/>
              </w:numPr>
              <w:rPr>
                <w:color w:val="3B3838" w:themeColor="background2" w:themeShade="40"/>
                <w:sz w:val="24"/>
                <w:szCs w:val="24"/>
              </w:rPr>
            </w:pPr>
            <w:r w:rsidRPr="00BA3505">
              <w:rPr>
                <w:color w:val="3B3838" w:themeColor="background2" w:themeShade="40"/>
                <w:sz w:val="24"/>
                <w:szCs w:val="24"/>
              </w:rPr>
              <w:t>Do you have any data/statistics/intelligence to illustrate your understanding?</w:t>
            </w:r>
          </w:p>
          <w:p w14:paraId="3AD7BC68" w14:textId="66F85035" w:rsidR="00FB4623" w:rsidRPr="00BA3505" w:rsidRDefault="004742E5" w:rsidP="0032787F">
            <w:pPr>
              <w:pStyle w:val="ListParagraph"/>
              <w:numPr>
                <w:ilvl w:val="0"/>
                <w:numId w:val="5"/>
              </w:numPr>
              <w:rPr>
                <w:color w:val="3B3838" w:themeColor="background2" w:themeShade="40"/>
              </w:rPr>
            </w:pPr>
            <w:r w:rsidRPr="00BA3505">
              <w:rPr>
                <w:color w:val="3B3838" w:themeColor="background2" w:themeShade="40"/>
                <w:sz w:val="24"/>
                <w:szCs w:val="24"/>
              </w:rPr>
              <w:t>How do you know this</w:t>
            </w:r>
            <w:r w:rsidR="002670ED" w:rsidRPr="00BA3505">
              <w:rPr>
                <w:color w:val="3B3838" w:themeColor="background2" w:themeShade="40"/>
                <w:sz w:val="24"/>
                <w:szCs w:val="24"/>
              </w:rPr>
              <w:t>?</w:t>
            </w:r>
            <w:r w:rsidR="00D73ED0" w:rsidRPr="00BA3505">
              <w:rPr>
                <w:color w:val="3B3838" w:themeColor="background2" w:themeShade="40"/>
                <w:sz w:val="24"/>
                <w:szCs w:val="24"/>
              </w:rPr>
              <w:t xml:space="preserve"> </w:t>
            </w:r>
            <w:r w:rsidR="002670ED" w:rsidRPr="00BA3505">
              <w:rPr>
                <w:color w:val="3B3838" w:themeColor="background2" w:themeShade="40"/>
                <w:sz w:val="24"/>
                <w:szCs w:val="24"/>
              </w:rPr>
              <w:t>F</w:t>
            </w:r>
            <w:r w:rsidR="003A535F" w:rsidRPr="00BA3505">
              <w:rPr>
                <w:color w:val="3B3838" w:themeColor="background2" w:themeShade="40"/>
                <w:sz w:val="24"/>
                <w:szCs w:val="24"/>
              </w:rPr>
              <w:t>or instance</w:t>
            </w:r>
            <w:r w:rsidR="6C696873" w:rsidRPr="00BA3505">
              <w:rPr>
                <w:color w:val="3B3838" w:themeColor="background2" w:themeShade="40"/>
                <w:sz w:val="24"/>
                <w:szCs w:val="24"/>
              </w:rPr>
              <w:t>,</w:t>
            </w:r>
            <w:r w:rsidR="003A535F" w:rsidRPr="00BA3505">
              <w:rPr>
                <w:color w:val="3B3838" w:themeColor="background2" w:themeShade="40"/>
                <w:sz w:val="24"/>
                <w:szCs w:val="24"/>
              </w:rPr>
              <w:t xml:space="preserve"> is</w:t>
            </w:r>
            <w:r w:rsidR="00A54975" w:rsidRPr="00BA3505">
              <w:rPr>
                <w:color w:val="3B3838" w:themeColor="background2" w:themeShade="40"/>
                <w:sz w:val="24"/>
                <w:szCs w:val="24"/>
              </w:rPr>
              <w:t xml:space="preserve"> this i</w:t>
            </w:r>
            <w:r w:rsidR="002670ED" w:rsidRPr="00BA3505">
              <w:rPr>
                <w:color w:val="3B3838" w:themeColor="background2" w:themeShade="40"/>
                <w:sz w:val="24"/>
                <w:szCs w:val="24"/>
              </w:rPr>
              <w:t>nformation</w:t>
            </w:r>
            <w:r w:rsidR="00A54975" w:rsidRPr="00BA3505">
              <w:rPr>
                <w:color w:val="3B3838" w:themeColor="background2" w:themeShade="40"/>
                <w:sz w:val="24"/>
                <w:szCs w:val="24"/>
              </w:rPr>
              <w:t xml:space="preserve"> based on your direct work with adults in the region</w:t>
            </w:r>
            <w:r w:rsidR="00BF78D7" w:rsidRPr="00BA3505">
              <w:rPr>
                <w:color w:val="3B3838" w:themeColor="background2" w:themeShade="40"/>
                <w:sz w:val="24"/>
                <w:szCs w:val="24"/>
              </w:rPr>
              <w:t>?</w:t>
            </w:r>
            <w:r w:rsidR="00987EEB" w:rsidRPr="00BA3505">
              <w:rPr>
                <w:color w:val="3B3838" w:themeColor="background2" w:themeShade="40"/>
              </w:rPr>
              <w:t xml:space="preserve"> </w:t>
            </w:r>
          </w:p>
        </w:tc>
      </w:tr>
      <w:tr w:rsidR="00BA3505" w:rsidRPr="00BA3505" w14:paraId="4F0BA9A9" w14:textId="77777777" w:rsidTr="30377470">
        <w:tc>
          <w:tcPr>
            <w:tcW w:w="9016" w:type="dxa"/>
          </w:tcPr>
          <w:p w14:paraId="3E179973" w14:textId="77777777" w:rsidR="009F1381" w:rsidRPr="00BA3505" w:rsidRDefault="009F1381" w:rsidP="00105FA8">
            <w:pPr>
              <w:rPr>
                <w:color w:val="3B3838" w:themeColor="background2" w:themeShade="40"/>
              </w:rPr>
            </w:pPr>
          </w:p>
          <w:p w14:paraId="3C98A482" w14:textId="77777777" w:rsidR="00C771C9" w:rsidRPr="00BA3505" w:rsidRDefault="00C771C9" w:rsidP="00105FA8">
            <w:pPr>
              <w:rPr>
                <w:color w:val="3B3838" w:themeColor="background2" w:themeShade="40"/>
              </w:rPr>
            </w:pPr>
          </w:p>
          <w:p w14:paraId="60062920" w14:textId="77777777" w:rsidR="00C771C9" w:rsidRPr="00BA3505" w:rsidRDefault="00C771C9" w:rsidP="00105FA8">
            <w:pPr>
              <w:rPr>
                <w:color w:val="3B3838" w:themeColor="background2" w:themeShade="40"/>
              </w:rPr>
            </w:pPr>
          </w:p>
          <w:p w14:paraId="1BA454EA" w14:textId="77777777" w:rsidR="00C771C9" w:rsidRPr="00BA3505" w:rsidRDefault="00C771C9" w:rsidP="00105FA8">
            <w:pPr>
              <w:rPr>
                <w:color w:val="3B3838" w:themeColor="background2" w:themeShade="40"/>
              </w:rPr>
            </w:pPr>
          </w:p>
          <w:p w14:paraId="493BD970" w14:textId="77777777" w:rsidR="00C771C9" w:rsidRPr="00BA3505" w:rsidRDefault="00C771C9" w:rsidP="00105FA8">
            <w:pPr>
              <w:rPr>
                <w:color w:val="3B3838" w:themeColor="background2" w:themeShade="40"/>
              </w:rPr>
            </w:pPr>
          </w:p>
          <w:p w14:paraId="6F96998F" w14:textId="77777777" w:rsidR="00C771C9" w:rsidRPr="00BA3505" w:rsidRDefault="00C771C9" w:rsidP="00105FA8">
            <w:pPr>
              <w:rPr>
                <w:color w:val="3B3838" w:themeColor="background2" w:themeShade="40"/>
              </w:rPr>
            </w:pPr>
          </w:p>
          <w:p w14:paraId="0507CD55" w14:textId="77777777" w:rsidR="00C771C9" w:rsidRPr="00BA3505" w:rsidRDefault="00C771C9" w:rsidP="00105FA8">
            <w:pPr>
              <w:rPr>
                <w:color w:val="3B3838" w:themeColor="background2" w:themeShade="40"/>
              </w:rPr>
            </w:pPr>
          </w:p>
          <w:p w14:paraId="6539F9A8" w14:textId="77777777" w:rsidR="00C771C9" w:rsidRPr="00BA3505" w:rsidRDefault="00C771C9" w:rsidP="00105FA8">
            <w:pPr>
              <w:rPr>
                <w:color w:val="3B3838" w:themeColor="background2" w:themeShade="40"/>
              </w:rPr>
            </w:pPr>
          </w:p>
          <w:p w14:paraId="2D3B94AA" w14:textId="77777777" w:rsidR="00C771C9" w:rsidRPr="00BA3505" w:rsidRDefault="00C771C9" w:rsidP="00105FA8">
            <w:pPr>
              <w:rPr>
                <w:color w:val="3B3838" w:themeColor="background2" w:themeShade="40"/>
              </w:rPr>
            </w:pPr>
          </w:p>
          <w:p w14:paraId="13A9A30D" w14:textId="77777777" w:rsidR="00C771C9" w:rsidRPr="00BA3505" w:rsidRDefault="00C771C9" w:rsidP="00105FA8">
            <w:pPr>
              <w:rPr>
                <w:color w:val="3B3838" w:themeColor="background2" w:themeShade="40"/>
              </w:rPr>
            </w:pPr>
          </w:p>
          <w:p w14:paraId="6841EBCC" w14:textId="09017D90" w:rsidR="00C771C9" w:rsidRPr="00BA3505" w:rsidRDefault="00C771C9" w:rsidP="00105FA8">
            <w:pPr>
              <w:rPr>
                <w:color w:val="3B3838" w:themeColor="background2" w:themeShade="40"/>
              </w:rPr>
            </w:pPr>
          </w:p>
          <w:p w14:paraId="193AAC4C" w14:textId="7AF08ED0" w:rsidR="00630C38" w:rsidRPr="00BA3505" w:rsidRDefault="00630C38" w:rsidP="00105FA8">
            <w:pPr>
              <w:rPr>
                <w:color w:val="3B3838" w:themeColor="background2" w:themeShade="40"/>
              </w:rPr>
            </w:pPr>
          </w:p>
          <w:p w14:paraId="79A3AC08" w14:textId="170BB375" w:rsidR="00630C38" w:rsidRPr="00BA3505" w:rsidRDefault="00630C38" w:rsidP="00105FA8">
            <w:pPr>
              <w:rPr>
                <w:color w:val="3B3838" w:themeColor="background2" w:themeShade="40"/>
              </w:rPr>
            </w:pPr>
          </w:p>
          <w:p w14:paraId="657D5577" w14:textId="77777777" w:rsidR="007B49B5" w:rsidRPr="00BA3505" w:rsidRDefault="007B49B5" w:rsidP="00105FA8">
            <w:pPr>
              <w:rPr>
                <w:color w:val="3B3838" w:themeColor="background2" w:themeShade="40"/>
              </w:rPr>
            </w:pPr>
          </w:p>
          <w:p w14:paraId="3DE883BC" w14:textId="77777777" w:rsidR="00B8058A" w:rsidRPr="00BA3505" w:rsidRDefault="00B8058A" w:rsidP="003645A1">
            <w:pPr>
              <w:rPr>
                <w:i/>
                <w:iCs/>
                <w:color w:val="3B3838" w:themeColor="background2" w:themeShade="40"/>
              </w:rPr>
            </w:pPr>
          </w:p>
          <w:p w14:paraId="10BE7DEB" w14:textId="77777777" w:rsidR="00B8058A" w:rsidRPr="00BA3505" w:rsidRDefault="00B8058A" w:rsidP="00C771C9">
            <w:pPr>
              <w:jc w:val="right"/>
              <w:rPr>
                <w:i/>
                <w:iCs/>
                <w:color w:val="3B3838" w:themeColor="background2" w:themeShade="40"/>
              </w:rPr>
            </w:pPr>
          </w:p>
          <w:p w14:paraId="67AC10C1" w14:textId="1C129A84" w:rsidR="00C771C9" w:rsidRPr="00BA3505" w:rsidRDefault="00C771C9" w:rsidP="00C771C9">
            <w:pPr>
              <w:jc w:val="right"/>
              <w:rPr>
                <w:i/>
                <w:iCs/>
                <w:color w:val="3B3838" w:themeColor="background2" w:themeShade="40"/>
              </w:rPr>
            </w:pPr>
            <w:r w:rsidRPr="00BA3505">
              <w:rPr>
                <w:i/>
                <w:iCs/>
                <w:color w:val="3B3838" w:themeColor="background2" w:themeShade="40"/>
              </w:rPr>
              <w:t>Hint: There is no word count</w:t>
            </w:r>
            <w:r w:rsidR="00B8058A" w:rsidRPr="00BA3505">
              <w:rPr>
                <w:i/>
                <w:iCs/>
                <w:color w:val="3B3838" w:themeColor="background2" w:themeShade="40"/>
              </w:rPr>
              <w:t xml:space="preserve"> simply</w:t>
            </w:r>
            <w:r w:rsidR="00630C38" w:rsidRPr="00BA3505">
              <w:rPr>
                <w:i/>
                <w:iCs/>
                <w:color w:val="3B3838" w:themeColor="background2" w:themeShade="40"/>
              </w:rPr>
              <w:t xml:space="preserve"> tell of what you know!</w:t>
            </w:r>
          </w:p>
        </w:tc>
      </w:tr>
      <w:tr w:rsidR="00BA3505" w:rsidRPr="00BA3505" w14:paraId="64BD02E8" w14:textId="77777777" w:rsidTr="30377470">
        <w:tc>
          <w:tcPr>
            <w:tcW w:w="9016" w:type="dxa"/>
            <w:shd w:val="clear" w:color="auto" w:fill="D9D9D9" w:themeFill="background1" w:themeFillShade="D9"/>
          </w:tcPr>
          <w:p w14:paraId="003FADC8" w14:textId="77777777" w:rsidR="009F1381" w:rsidRPr="00BA3505" w:rsidRDefault="002B0661" w:rsidP="00105FA8">
            <w:pPr>
              <w:rPr>
                <w:b/>
                <w:bCs/>
                <w:color w:val="3B3838" w:themeColor="background2" w:themeShade="40"/>
                <w:sz w:val="24"/>
                <w:szCs w:val="24"/>
              </w:rPr>
            </w:pPr>
            <w:r w:rsidRPr="00BA3505">
              <w:rPr>
                <w:b/>
                <w:bCs/>
                <w:color w:val="3B3838" w:themeColor="background2" w:themeShade="40"/>
                <w:sz w:val="24"/>
                <w:szCs w:val="24"/>
              </w:rPr>
              <w:t xml:space="preserve">Understanding </w:t>
            </w:r>
            <w:r w:rsidR="00E365DE" w:rsidRPr="00BA3505">
              <w:rPr>
                <w:b/>
                <w:bCs/>
                <w:color w:val="3B3838" w:themeColor="background2" w:themeShade="40"/>
                <w:sz w:val="24"/>
                <w:szCs w:val="24"/>
              </w:rPr>
              <w:t xml:space="preserve">the </w:t>
            </w:r>
            <w:r w:rsidR="008465B9" w:rsidRPr="00BA3505">
              <w:rPr>
                <w:b/>
                <w:bCs/>
                <w:color w:val="3B3838" w:themeColor="background2" w:themeShade="40"/>
                <w:sz w:val="24"/>
                <w:szCs w:val="24"/>
              </w:rPr>
              <w:t>Causes of Adults Experiencing Low Numeracy Skills Levels</w:t>
            </w:r>
          </w:p>
          <w:p w14:paraId="5BC2E6C8" w14:textId="27357E13" w:rsidR="008465B9" w:rsidRPr="00BA3505" w:rsidRDefault="00FB4623" w:rsidP="008465B9">
            <w:pPr>
              <w:pStyle w:val="ListParagraph"/>
              <w:numPr>
                <w:ilvl w:val="0"/>
                <w:numId w:val="5"/>
              </w:numPr>
              <w:rPr>
                <w:color w:val="3B3838" w:themeColor="background2" w:themeShade="40"/>
                <w:sz w:val="24"/>
                <w:szCs w:val="24"/>
              </w:rPr>
            </w:pPr>
            <w:r w:rsidRPr="00BA3505">
              <w:rPr>
                <w:color w:val="3B3838" w:themeColor="background2" w:themeShade="40"/>
                <w:sz w:val="24"/>
                <w:szCs w:val="24"/>
              </w:rPr>
              <w:t xml:space="preserve">Please explain </w:t>
            </w:r>
            <w:r w:rsidR="005912D4" w:rsidRPr="00BA3505">
              <w:rPr>
                <w:color w:val="3B3838" w:themeColor="background2" w:themeShade="40"/>
                <w:sz w:val="24"/>
                <w:szCs w:val="24"/>
              </w:rPr>
              <w:t xml:space="preserve">your understanding of </w:t>
            </w:r>
            <w:r w:rsidR="00CA7421" w:rsidRPr="00BA3505">
              <w:rPr>
                <w:color w:val="3B3838" w:themeColor="background2" w:themeShade="40"/>
                <w:sz w:val="24"/>
                <w:szCs w:val="24"/>
              </w:rPr>
              <w:t xml:space="preserve">the </w:t>
            </w:r>
            <w:r w:rsidR="00C535AD" w:rsidRPr="00BA3505">
              <w:rPr>
                <w:color w:val="3B3838" w:themeColor="background2" w:themeShade="40"/>
                <w:sz w:val="24"/>
                <w:szCs w:val="24"/>
              </w:rPr>
              <w:t xml:space="preserve">range of different </w:t>
            </w:r>
            <w:r w:rsidR="00CA7421" w:rsidRPr="00BA3505">
              <w:rPr>
                <w:color w:val="3B3838" w:themeColor="background2" w:themeShade="40"/>
                <w:sz w:val="24"/>
                <w:szCs w:val="24"/>
              </w:rPr>
              <w:t xml:space="preserve">reasons </w:t>
            </w:r>
            <w:r w:rsidR="005912D4" w:rsidRPr="00BA3505">
              <w:rPr>
                <w:color w:val="3B3838" w:themeColor="background2" w:themeShade="40"/>
                <w:sz w:val="24"/>
                <w:szCs w:val="24"/>
              </w:rPr>
              <w:t xml:space="preserve">why </w:t>
            </w:r>
            <w:r w:rsidR="00CA7421" w:rsidRPr="00BA3505">
              <w:rPr>
                <w:color w:val="3B3838" w:themeColor="background2" w:themeShade="40"/>
                <w:sz w:val="24"/>
                <w:szCs w:val="24"/>
              </w:rPr>
              <w:t>some people in our region experience low levels of numeracy skills</w:t>
            </w:r>
            <w:r w:rsidR="0090116A" w:rsidRPr="00BA3505">
              <w:rPr>
                <w:color w:val="3B3838" w:themeColor="background2" w:themeShade="40"/>
                <w:sz w:val="24"/>
                <w:szCs w:val="24"/>
              </w:rPr>
              <w:t xml:space="preserve"> including why some people have low levels of confidence with numeracy?</w:t>
            </w:r>
          </w:p>
          <w:p w14:paraId="0D788CC4" w14:textId="1ACB2595" w:rsidR="00DC45F3" w:rsidRPr="00BA3505" w:rsidRDefault="00DC45F3" w:rsidP="008465B9">
            <w:pPr>
              <w:pStyle w:val="ListParagraph"/>
              <w:numPr>
                <w:ilvl w:val="0"/>
                <w:numId w:val="5"/>
              </w:numPr>
              <w:rPr>
                <w:color w:val="3B3838" w:themeColor="background2" w:themeShade="40"/>
              </w:rPr>
            </w:pPr>
            <w:r w:rsidRPr="00BA3505">
              <w:rPr>
                <w:color w:val="3B3838" w:themeColor="background2" w:themeShade="40"/>
                <w:sz w:val="24"/>
                <w:szCs w:val="24"/>
              </w:rPr>
              <w:t>How do you know this?</w:t>
            </w:r>
            <w:r w:rsidR="00A5292F" w:rsidRPr="00BA3505">
              <w:rPr>
                <w:color w:val="3B3838" w:themeColor="background2" w:themeShade="40"/>
                <w:sz w:val="24"/>
                <w:szCs w:val="24"/>
              </w:rPr>
              <w:t xml:space="preserve"> Do you have any data/statistics to illustrate your understanding?</w:t>
            </w:r>
          </w:p>
        </w:tc>
      </w:tr>
      <w:tr w:rsidR="00BA3505" w:rsidRPr="00BA3505" w14:paraId="327817F9" w14:textId="77777777" w:rsidTr="30377470">
        <w:tc>
          <w:tcPr>
            <w:tcW w:w="9016" w:type="dxa"/>
          </w:tcPr>
          <w:p w14:paraId="10761813" w14:textId="1444A1E8" w:rsidR="009F1381" w:rsidRPr="00BA3505" w:rsidRDefault="009F1381" w:rsidP="00105FA8">
            <w:pPr>
              <w:rPr>
                <w:color w:val="3B3838" w:themeColor="background2" w:themeShade="40"/>
              </w:rPr>
            </w:pPr>
          </w:p>
          <w:p w14:paraId="2803F56F" w14:textId="77777777" w:rsidR="007B49B5" w:rsidRPr="00BA3505" w:rsidRDefault="007B49B5" w:rsidP="00105FA8">
            <w:pPr>
              <w:rPr>
                <w:color w:val="3B3838" w:themeColor="background2" w:themeShade="40"/>
              </w:rPr>
            </w:pPr>
          </w:p>
          <w:p w14:paraId="467526D2" w14:textId="77777777" w:rsidR="00EA5830" w:rsidRPr="00BA3505" w:rsidRDefault="00EA5830" w:rsidP="00105FA8">
            <w:pPr>
              <w:rPr>
                <w:color w:val="3B3838" w:themeColor="background2" w:themeShade="40"/>
              </w:rPr>
            </w:pPr>
          </w:p>
          <w:p w14:paraId="3594785A" w14:textId="77777777" w:rsidR="00EA5830" w:rsidRPr="00BA3505" w:rsidRDefault="00EA5830" w:rsidP="00105FA8">
            <w:pPr>
              <w:rPr>
                <w:color w:val="3B3838" w:themeColor="background2" w:themeShade="40"/>
              </w:rPr>
            </w:pPr>
          </w:p>
          <w:p w14:paraId="13A383CE" w14:textId="77777777" w:rsidR="00EA5830" w:rsidRPr="00BA3505" w:rsidRDefault="00EA5830" w:rsidP="00105FA8">
            <w:pPr>
              <w:rPr>
                <w:color w:val="3B3838" w:themeColor="background2" w:themeShade="40"/>
              </w:rPr>
            </w:pPr>
          </w:p>
          <w:p w14:paraId="53891E86" w14:textId="77777777" w:rsidR="00EA5830" w:rsidRPr="00BA3505" w:rsidRDefault="00EA5830" w:rsidP="00105FA8">
            <w:pPr>
              <w:rPr>
                <w:color w:val="3B3838" w:themeColor="background2" w:themeShade="40"/>
              </w:rPr>
            </w:pPr>
          </w:p>
          <w:p w14:paraId="0F5C026C" w14:textId="77777777" w:rsidR="00EA5830" w:rsidRPr="00BA3505" w:rsidRDefault="00EA5830" w:rsidP="00105FA8">
            <w:pPr>
              <w:rPr>
                <w:color w:val="3B3838" w:themeColor="background2" w:themeShade="40"/>
              </w:rPr>
            </w:pPr>
          </w:p>
          <w:p w14:paraId="3AE0CD28" w14:textId="77777777" w:rsidR="00EA5830" w:rsidRPr="00BA3505" w:rsidRDefault="00EA5830" w:rsidP="00105FA8">
            <w:pPr>
              <w:rPr>
                <w:color w:val="3B3838" w:themeColor="background2" w:themeShade="40"/>
              </w:rPr>
            </w:pPr>
          </w:p>
          <w:p w14:paraId="62F44EA3" w14:textId="77777777" w:rsidR="00EA5830" w:rsidRPr="00BA3505" w:rsidRDefault="00EA5830" w:rsidP="00105FA8">
            <w:pPr>
              <w:rPr>
                <w:color w:val="3B3838" w:themeColor="background2" w:themeShade="40"/>
              </w:rPr>
            </w:pPr>
          </w:p>
          <w:p w14:paraId="44CF6E20" w14:textId="77777777" w:rsidR="00EA5830" w:rsidRPr="00BA3505" w:rsidRDefault="00EA5830" w:rsidP="00105FA8">
            <w:pPr>
              <w:rPr>
                <w:color w:val="3B3838" w:themeColor="background2" w:themeShade="40"/>
              </w:rPr>
            </w:pPr>
          </w:p>
          <w:p w14:paraId="4A8967E1" w14:textId="77777777" w:rsidR="00EA5830" w:rsidRPr="00BA3505" w:rsidRDefault="00EA5830" w:rsidP="00105FA8">
            <w:pPr>
              <w:rPr>
                <w:color w:val="3B3838" w:themeColor="background2" w:themeShade="40"/>
              </w:rPr>
            </w:pPr>
          </w:p>
          <w:p w14:paraId="340AB0BE" w14:textId="77777777" w:rsidR="00EA5830" w:rsidRPr="00BA3505" w:rsidRDefault="00EA5830" w:rsidP="00105FA8">
            <w:pPr>
              <w:rPr>
                <w:color w:val="3B3838" w:themeColor="background2" w:themeShade="40"/>
              </w:rPr>
            </w:pPr>
          </w:p>
          <w:p w14:paraId="2832F22E" w14:textId="7F8CD4C4" w:rsidR="00EA5830" w:rsidRPr="00BA3505" w:rsidRDefault="00EA5830" w:rsidP="00105FA8">
            <w:pPr>
              <w:rPr>
                <w:color w:val="3B3838" w:themeColor="background2" w:themeShade="40"/>
              </w:rPr>
            </w:pPr>
          </w:p>
          <w:p w14:paraId="58CB6FB1" w14:textId="0F88C952" w:rsidR="00EA5830" w:rsidRPr="00BA3505" w:rsidRDefault="00EA5830" w:rsidP="00105FA8">
            <w:pPr>
              <w:rPr>
                <w:color w:val="3B3838" w:themeColor="background2" w:themeShade="40"/>
              </w:rPr>
            </w:pPr>
          </w:p>
          <w:p w14:paraId="0DA01779" w14:textId="77777777" w:rsidR="00EA5830" w:rsidRPr="00BA3505" w:rsidRDefault="00EA5830" w:rsidP="00105FA8">
            <w:pPr>
              <w:rPr>
                <w:color w:val="3B3838" w:themeColor="background2" w:themeShade="40"/>
              </w:rPr>
            </w:pPr>
          </w:p>
          <w:p w14:paraId="16B3C2DC" w14:textId="77777777" w:rsidR="00EA5830" w:rsidRPr="00BA3505" w:rsidRDefault="00EA5830" w:rsidP="00105FA8">
            <w:pPr>
              <w:rPr>
                <w:color w:val="3B3838" w:themeColor="background2" w:themeShade="40"/>
              </w:rPr>
            </w:pPr>
          </w:p>
          <w:p w14:paraId="6793C973" w14:textId="77777777" w:rsidR="00EA5830" w:rsidRPr="00BA3505" w:rsidRDefault="00EA5830" w:rsidP="00105FA8">
            <w:pPr>
              <w:rPr>
                <w:color w:val="3B3838" w:themeColor="background2" w:themeShade="40"/>
              </w:rPr>
            </w:pPr>
          </w:p>
          <w:p w14:paraId="60E75A9A" w14:textId="77777777" w:rsidR="00AE28A5" w:rsidRPr="00BA3505" w:rsidRDefault="00AE28A5" w:rsidP="003645A1">
            <w:pPr>
              <w:jc w:val="right"/>
              <w:rPr>
                <w:i/>
                <w:iCs/>
                <w:color w:val="3B3838" w:themeColor="background2" w:themeShade="40"/>
              </w:rPr>
            </w:pPr>
          </w:p>
          <w:p w14:paraId="422577F7" w14:textId="096ACA81" w:rsidR="00EA5830" w:rsidRPr="00BA3505" w:rsidRDefault="003645A1" w:rsidP="003645A1">
            <w:pPr>
              <w:jc w:val="right"/>
              <w:rPr>
                <w:color w:val="3B3838" w:themeColor="background2" w:themeShade="40"/>
              </w:rPr>
            </w:pPr>
            <w:r w:rsidRPr="00BA3505">
              <w:rPr>
                <w:i/>
                <w:iCs/>
                <w:color w:val="3B3838" w:themeColor="background2" w:themeShade="40"/>
              </w:rPr>
              <w:t>Hint: There is no word count simply tell of what you know!</w:t>
            </w:r>
          </w:p>
        </w:tc>
      </w:tr>
      <w:tr w:rsidR="00BA3505" w:rsidRPr="00BA3505" w14:paraId="5CFE5261" w14:textId="77777777" w:rsidTr="30377470">
        <w:tc>
          <w:tcPr>
            <w:tcW w:w="9016" w:type="dxa"/>
            <w:shd w:val="clear" w:color="auto" w:fill="D9D9D9" w:themeFill="background1" w:themeFillShade="D9"/>
          </w:tcPr>
          <w:p w14:paraId="2D11F95B" w14:textId="66F2A51A" w:rsidR="00A61B7B" w:rsidRPr="00BA3505" w:rsidRDefault="00A61B7B" w:rsidP="00105FA8">
            <w:pPr>
              <w:rPr>
                <w:b/>
                <w:bCs/>
                <w:color w:val="3B3838" w:themeColor="background2" w:themeShade="40"/>
                <w:sz w:val="24"/>
                <w:szCs w:val="24"/>
              </w:rPr>
            </w:pPr>
            <w:r w:rsidRPr="00BA3505">
              <w:rPr>
                <w:b/>
                <w:bCs/>
                <w:color w:val="3B3838" w:themeColor="background2" w:themeShade="40"/>
                <w:sz w:val="24"/>
                <w:szCs w:val="24"/>
              </w:rPr>
              <w:lastRenderedPageBreak/>
              <w:t xml:space="preserve">Understanding the </w:t>
            </w:r>
            <w:r w:rsidR="00566AA1" w:rsidRPr="00BA3505">
              <w:rPr>
                <w:b/>
                <w:bCs/>
                <w:color w:val="3B3838" w:themeColor="background2" w:themeShade="40"/>
                <w:sz w:val="24"/>
                <w:szCs w:val="24"/>
              </w:rPr>
              <w:t>Barriers th</w:t>
            </w:r>
            <w:r w:rsidR="00B32B59" w:rsidRPr="00BA3505">
              <w:rPr>
                <w:b/>
                <w:bCs/>
                <w:color w:val="3B3838" w:themeColor="background2" w:themeShade="40"/>
                <w:sz w:val="24"/>
                <w:szCs w:val="24"/>
              </w:rPr>
              <w:t xml:space="preserve">at Adults Face to </w:t>
            </w:r>
            <w:r w:rsidRPr="00BA3505">
              <w:rPr>
                <w:b/>
                <w:bCs/>
                <w:color w:val="3B3838" w:themeColor="background2" w:themeShade="40"/>
                <w:sz w:val="24"/>
                <w:szCs w:val="24"/>
              </w:rPr>
              <w:t>Developing the</w:t>
            </w:r>
            <w:r w:rsidR="00017902" w:rsidRPr="00BA3505">
              <w:rPr>
                <w:b/>
                <w:bCs/>
                <w:color w:val="3B3838" w:themeColor="background2" w:themeShade="40"/>
                <w:sz w:val="24"/>
                <w:szCs w:val="24"/>
              </w:rPr>
              <w:t>ir</w:t>
            </w:r>
            <w:r w:rsidRPr="00BA3505">
              <w:rPr>
                <w:b/>
                <w:bCs/>
                <w:color w:val="3B3838" w:themeColor="background2" w:themeShade="40"/>
                <w:sz w:val="24"/>
                <w:szCs w:val="24"/>
              </w:rPr>
              <w:t xml:space="preserve"> Numeracy Skills</w:t>
            </w:r>
          </w:p>
          <w:p w14:paraId="184DFF2F" w14:textId="503C9308" w:rsidR="009F1381" w:rsidRPr="00BA3505" w:rsidRDefault="00A61B7B" w:rsidP="000350B5">
            <w:pPr>
              <w:pStyle w:val="ListParagraph"/>
              <w:numPr>
                <w:ilvl w:val="0"/>
                <w:numId w:val="5"/>
              </w:numPr>
              <w:rPr>
                <w:b/>
                <w:bCs/>
                <w:color w:val="3B3838" w:themeColor="background2" w:themeShade="40"/>
                <w:sz w:val="24"/>
                <w:szCs w:val="24"/>
              </w:rPr>
            </w:pPr>
            <w:r w:rsidRPr="00BA3505">
              <w:rPr>
                <w:color w:val="3B3838" w:themeColor="background2" w:themeShade="40"/>
                <w:sz w:val="24"/>
                <w:szCs w:val="24"/>
              </w:rPr>
              <w:t>Please explain your</w:t>
            </w:r>
            <w:r w:rsidR="00AE28A5" w:rsidRPr="00BA3505">
              <w:rPr>
                <w:color w:val="3B3838" w:themeColor="background2" w:themeShade="40"/>
                <w:sz w:val="24"/>
                <w:szCs w:val="24"/>
              </w:rPr>
              <w:t xml:space="preserve"> </w:t>
            </w:r>
            <w:r w:rsidR="00E8075B" w:rsidRPr="00BA3505">
              <w:rPr>
                <w:color w:val="3B3838" w:themeColor="background2" w:themeShade="40"/>
                <w:sz w:val="24"/>
                <w:szCs w:val="24"/>
              </w:rPr>
              <w:t>understanding of the</w:t>
            </w:r>
            <w:r w:rsidR="002A06E5" w:rsidRPr="00BA3505">
              <w:rPr>
                <w:color w:val="3B3838" w:themeColor="background2" w:themeShade="40"/>
                <w:sz w:val="24"/>
                <w:szCs w:val="24"/>
              </w:rPr>
              <w:t xml:space="preserve"> </w:t>
            </w:r>
            <w:r w:rsidR="00017902" w:rsidRPr="00BA3505">
              <w:rPr>
                <w:color w:val="3B3838" w:themeColor="background2" w:themeShade="40"/>
                <w:sz w:val="24"/>
                <w:szCs w:val="24"/>
              </w:rPr>
              <w:t xml:space="preserve">range of different </w:t>
            </w:r>
            <w:r w:rsidR="00E8075B" w:rsidRPr="00BA3505">
              <w:rPr>
                <w:color w:val="3B3838" w:themeColor="background2" w:themeShade="40"/>
                <w:sz w:val="24"/>
                <w:szCs w:val="24"/>
              </w:rPr>
              <w:t>barriers</w:t>
            </w:r>
            <w:r w:rsidR="00017902" w:rsidRPr="00BA3505">
              <w:rPr>
                <w:color w:val="3B3838" w:themeColor="background2" w:themeShade="40"/>
                <w:sz w:val="24"/>
                <w:szCs w:val="24"/>
              </w:rPr>
              <w:t xml:space="preserve"> </w:t>
            </w:r>
            <w:r w:rsidR="008115C7" w:rsidRPr="00BA3505">
              <w:rPr>
                <w:color w:val="3B3838" w:themeColor="background2" w:themeShade="40"/>
                <w:sz w:val="24"/>
                <w:szCs w:val="24"/>
              </w:rPr>
              <w:t>that adults in our region face in developing their numeracy skills and confidence.</w:t>
            </w:r>
            <w:r w:rsidR="000350B5" w:rsidRPr="00BA3505">
              <w:rPr>
                <w:color w:val="3B3838" w:themeColor="background2" w:themeShade="40"/>
                <w:sz w:val="24"/>
                <w:szCs w:val="24"/>
              </w:rPr>
              <w:t xml:space="preserve"> For instance</w:t>
            </w:r>
            <w:r w:rsidR="007B51EC" w:rsidRPr="00BA3505">
              <w:rPr>
                <w:color w:val="3B3838" w:themeColor="background2" w:themeShade="40"/>
                <w:sz w:val="24"/>
                <w:szCs w:val="24"/>
              </w:rPr>
              <w:t>,</w:t>
            </w:r>
            <w:r w:rsidR="000350B5" w:rsidRPr="00BA3505">
              <w:rPr>
                <w:color w:val="3B3838" w:themeColor="background2" w:themeShade="40"/>
                <w:sz w:val="24"/>
                <w:szCs w:val="24"/>
              </w:rPr>
              <w:t xml:space="preserve"> d</w:t>
            </w:r>
            <w:r w:rsidR="005213BF" w:rsidRPr="00BA3505">
              <w:rPr>
                <w:color w:val="3B3838" w:themeColor="background2" w:themeShade="40"/>
                <w:sz w:val="24"/>
                <w:szCs w:val="24"/>
              </w:rPr>
              <w:t xml:space="preserve">o barriers relate </w:t>
            </w:r>
            <w:proofErr w:type="gramStart"/>
            <w:r w:rsidR="005213BF" w:rsidRPr="00BA3505">
              <w:rPr>
                <w:color w:val="3B3838" w:themeColor="background2" w:themeShade="40"/>
                <w:sz w:val="24"/>
                <w:szCs w:val="24"/>
              </w:rPr>
              <w:t>to:</w:t>
            </w:r>
            <w:proofErr w:type="gramEnd"/>
            <w:r w:rsidR="003D4A75" w:rsidRPr="00BA3505">
              <w:rPr>
                <w:color w:val="3B3838" w:themeColor="background2" w:themeShade="40"/>
                <w:sz w:val="24"/>
                <w:szCs w:val="24"/>
              </w:rPr>
              <w:t xml:space="preserve"> lacking confidence in </w:t>
            </w:r>
            <w:r w:rsidR="007B51EC" w:rsidRPr="00BA3505">
              <w:rPr>
                <w:color w:val="3B3838" w:themeColor="background2" w:themeShade="40"/>
                <w:sz w:val="24"/>
                <w:szCs w:val="24"/>
              </w:rPr>
              <w:t>numbers/maths,</w:t>
            </w:r>
            <w:r w:rsidR="005213BF" w:rsidRPr="00BA3505">
              <w:rPr>
                <w:color w:val="3B3838" w:themeColor="background2" w:themeShade="40"/>
                <w:sz w:val="24"/>
                <w:szCs w:val="24"/>
              </w:rPr>
              <w:t xml:space="preserve"> access to advice and training, the cost of access</w:t>
            </w:r>
            <w:r w:rsidR="00337F04" w:rsidRPr="00BA3505">
              <w:rPr>
                <w:color w:val="3B3838" w:themeColor="background2" w:themeShade="40"/>
                <w:sz w:val="24"/>
                <w:szCs w:val="24"/>
              </w:rPr>
              <w:t>ing training or taking time away from work</w:t>
            </w:r>
            <w:r w:rsidR="00974508" w:rsidRPr="00BA3505">
              <w:rPr>
                <w:color w:val="3B3838" w:themeColor="background2" w:themeShade="40"/>
                <w:sz w:val="24"/>
                <w:szCs w:val="24"/>
              </w:rPr>
              <w:t xml:space="preserve"> etc.</w:t>
            </w:r>
          </w:p>
          <w:p w14:paraId="443C6BBF" w14:textId="2C888955" w:rsidR="005213BF" w:rsidRPr="00BA3505" w:rsidRDefault="00974508" w:rsidP="00A61B7B">
            <w:pPr>
              <w:pStyle w:val="ListParagraph"/>
              <w:numPr>
                <w:ilvl w:val="0"/>
                <w:numId w:val="5"/>
              </w:numPr>
              <w:rPr>
                <w:b/>
                <w:bCs/>
                <w:color w:val="3B3838" w:themeColor="background2" w:themeShade="40"/>
              </w:rPr>
            </w:pPr>
            <w:r w:rsidRPr="00BA3505">
              <w:rPr>
                <w:color w:val="3B3838" w:themeColor="background2" w:themeShade="40"/>
                <w:sz w:val="24"/>
                <w:szCs w:val="24"/>
              </w:rPr>
              <w:t>How do you know this? Do you have any data/statistics to illustrate your understanding?</w:t>
            </w:r>
          </w:p>
        </w:tc>
      </w:tr>
      <w:tr w:rsidR="00BA3505" w:rsidRPr="00BA3505" w14:paraId="7C7C60F0" w14:textId="77777777" w:rsidTr="30377470">
        <w:tc>
          <w:tcPr>
            <w:tcW w:w="9016" w:type="dxa"/>
          </w:tcPr>
          <w:p w14:paraId="32353799" w14:textId="00AE2D17" w:rsidR="009F1381" w:rsidRPr="00BA3505" w:rsidRDefault="009F1381" w:rsidP="00105FA8">
            <w:pPr>
              <w:rPr>
                <w:color w:val="3B3838" w:themeColor="background2" w:themeShade="40"/>
              </w:rPr>
            </w:pPr>
          </w:p>
          <w:p w14:paraId="35047218" w14:textId="0699D90B" w:rsidR="00974508" w:rsidRPr="00BA3505" w:rsidRDefault="00974508" w:rsidP="00105FA8">
            <w:pPr>
              <w:rPr>
                <w:color w:val="3B3838" w:themeColor="background2" w:themeShade="40"/>
              </w:rPr>
            </w:pPr>
          </w:p>
          <w:p w14:paraId="57281D33" w14:textId="38F51770" w:rsidR="00974508" w:rsidRPr="00BA3505" w:rsidRDefault="00974508" w:rsidP="00105FA8">
            <w:pPr>
              <w:rPr>
                <w:color w:val="3B3838" w:themeColor="background2" w:themeShade="40"/>
              </w:rPr>
            </w:pPr>
          </w:p>
          <w:p w14:paraId="2D91070B" w14:textId="2FC8054B" w:rsidR="00974508" w:rsidRPr="00BA3505" w:rsidRDefault="00974508" w:rsidP="00105FA8">
            <w:pPr>
              <w:rPr>
                <w:color w:val="3B3838" w:themeColor="background2" w:themeShade="40"/>
              </w:rPr>
            </w:pPr>
          </w:p>
          <w:p w14:paraId="277FCEFC" w14:textId="6D3470FC" w:rsidR="00974508" w:rsidRPr="00BA3505" w:rsidRDefault="00974508" w:rsidP="00105FA8">
            <w:pPr>
              <w:rPr>
                <w:color w:val="3B3838" w:themeColor="background2" w:themeShade="40"/>
              </w:rPr>
            </w:pPr>
          </w:p>
          <w:p w14:paraId="0FDF72C7" w14:textId="0A430042" w:rsidR="00974508" w:rsidRPr="00BA3505" w:rsidRDefault="00974508" w:rsidP="00105FA8">
            <w:pPr>
              <w:rPr>
                <w:color w:val="3B3838" w:themeColor="background2" w:themeShade="40"/>
              </w:rPr>
            </w:pPr>
          </w:p>
          <w:p w14:paraId="476D8DC9" w14:textId="50E53F7F" w:rsidR="00974508" w:rsidRPr="00BA3505" w:rsidRDefault="00974508" w:rsidP="00105FA8">
            <w:pPr>
              <w:rPr>
                <w:color w:val="3B3838" w:themeColor="background2" w:themeShade="40"/>
              </w:rPr>
            </w:pPr>
          </w:p>
          <w:p w14:paraId="05C1BF0F" w14:textId="74CB66B5" w:rsidR="00974508" w:rsidRPr="00BA3505" w:rsidRDefault="00974508" w:rsidP="00105FA8">
            <w:pPr>
              <w:rPr>
                <w:color w:val="3B3838" w:themeColor="background2" w:themeShade="40"/>
              </w:rPr>
            </w:pPr>
          </w:p>
          <w:p w14:paraId="3A3019CD" w14:textId="625AA49D" w:rsidR="00974508" w:rsidRPr="00BA3505" w:rsidRDefault="00974508" w:rsidP="00105FA8">
            <w:pPr>
              <w:rPr>
                <w:color w:val="3B3838" w:themeColor="background2" w:themeShade="40"/>
              </w:rPr>
            </w:pPr>
          </w:p>
          <w:p w14:paraId="4A69FE64" w14:textId="78509CE2" w:rsidR="00974508" w:rsidRPr="00BA3505" w:rsidRDefault="00974508" w:rsidP="00105FA8">
            <w:pPr>
              <w:rPr>
                <w:color w:val="3B3838" w:themeColor="background2" w:themeShade="40"/>
              </w:rPr>
            </w:pPr>
          </w:p>
          <w:p w14:paraId="479F721A" w14:textId="77777777" w:rsidR="006576E2" w:rsidRPr="00BA3505" w:rsidRDefault="006576E2" w:rsidP="00105FA8">
            <w:pPr>
              <w:rPr>
                <w:color w:val="3B3838" w:themeColor="background2" w:themeShade="40"/>
              </w:rPr>
            </w:pPr>
          </w:p>
          <w:p w14:paraId="44DDB8DD" w14:textId="0909CDBB" w:rsidR="00974508" w:rsidRPr="00BA3505" w:rsidRDefault="00974508" w:rsidP="00105FA8">
            <w:pPr>
              <w:rPr>
                <w:color w:val="3B3838" w:themeColor="background2" w:themeShade="40"/>
              </w:rPr>
            </w:pPr>
          </w:p>
          <w:p w14:paraId="5826316F" w14:textId="4C43597F" w:rsidR="00974508" w:rsidRPr="00BA3505" w:rsidRDefault="00974508" w:rsidP="00105FA8">
            <w:pPr>
              <w:rPr>
                <w:color w:val="3B3838" w:themeColor="background2" w:themeShade="40"/>
              </w:rPr>
            </w:pPr>
          </w:p>
          <w:p w14:paraId="4ECD45BC" w14:textId="33F92D04" w:rsidR="00974508" w:rsidRPr="00BA3505" w:rsidRDefault="00974508" w:rsidP="00105FA8">
            <w:pPr>
              <w:rPr>
                <w:color w:val="3B3838" w:themeColor="background2" w:themeShade="40"/>
              </w:rPr>
            </w:pPr>
          </w:p>
          <w:p w14:paraId="7940C59F" w14:textId="44EA566E" w:rsidR="00974508" w:rsidRPr="00BA3505" w:rsidRDefault="00974508" w:rsidP="00105FA8">
            <w:pPr>
              <w:rPr>
                <w:color w:val="3B3838" w:themeColor="background2" w:themeShade="40"/>
              </w:rPr>
            </w:pPr>
          </w:p>
          <w:p w14:paraId="6D028290" w14:textId="1457CEE4" w:rsidR="00974508" w:rsidRPr="00BA3505" w:rsidRDefault="00974508" w:rsidP="00105FA8">
            <w:pPr>
              <w:rPr>
                <w:color w:val="3B3838" w:themeColor="background2" w:themeShade="40"/>
              </w:rPr>
            </w:pPr>
          </w:p>
          <w:p w14:paraId="07A8CEFB" w14:textId="721937F7" w:rsidR="00974508" w:rsidRPr="00BA3505" w:rsidRDefault="00974508" w:rsidP="00105FA8">
            <w:pPr>
              <w:rPr>
                <w:color w:val="3B3838" w:themeColor="background2" w:themeShade="40"/>
              </w:rPr>
            </w:pPr>
          </w:p>
          <w:p w14:paraId="4C84F531" w14:textId="77777777" w:rsidR="00974508" w:rsidRPr="00BA3505" w:rsidRDefault="00974508" w:rsidP="00105FA8">
            <w:pPr>
              <w:rPr>
                <w:color w:val="3B3838" w:themeColor="background2" w:themeShade="40"/>
              </w:rPr>
            </w:pPr>
          </w:p>
          <w:p w14:paraId="23AB44D5" w14:textId="3EA2A559" w:rsidR="00974508" w:rsidRPr="00BA3505" w:rsidRDefault="00974508" w:rsidP="00974508">
            <w:pPr>
              <w:jc w:val="right"/>
              <w:rPr>
                <w:color w:val="3B3838" w:themeColor="background2" w:themeShade="40"/>
              </w:rPr>
            </w:pPr>
            <w:r w:rsidRPr="00BA3505">
              <w:rPr>
                <w:i/>
                <w:iCs/>
                <w:color w:val="3B3838" w:themeColor="background2" w:themeShade="40"/>
              </w:rPr>
              <w:t>Hint: There is no word count simply tell of what you know!</w:t>
            </w:r>
          </w:p>
        </w:tc>
      </w:tr>
      <w:tr w:rsidR="00BA3505" w:rsidRPr="00BA3505" w14:paraId="70B80D6A" w14:textId="77777777" w:rsidTr="30377470">
        <w:tc>
          <w:tcPr>
            <w:tcW w:w="9016" w:type="dxa"/>
            <w:shd w:val="clear" w:color="auto" w:fill="D9D9D9" w:themeFill="background1" w:themeFillShade="D9"/>
          </w:tcPr>
          <w:p w14:paraId="2B463FE8" w14:textId="77777777" w:rsidR="009F1381" w:rsidRPr="00BA3505" w:rsidRDefault="00E75625" w:rsidP="00105FA8">
            <w:pPr>
              <w:rPr>
                <w:b/>
                <w:bCs/>
                <w:color w:val="3B3838" w:themeColor="background2" w:themeShade="40"/>
                <w:sz w:val="24"/>
                <w:szCs w:val="24"/>
              </w:rPr>
            </w:pPr>
            <w:r w:rsidRPr="00BA3505">
              <w:rPr>
                <w:b/>
                <w:bCs/>
                <w:color w:val="3B3838" w:themeColor="background2" w:themeShade="40"/>
                <w:sz w:val="24"/>
                <w:szCs w:val="24"/>
              </w:rPr>
              <w:t>Identifying Solutions</w:t>
            </w:r>
          </w:p>
          <w:p w14:paraId="50B66433" w14:textId="7F4CC0FF" w:rsidR="00E75625" w:rsidRPr="00BA3505" w:rsidRDefault="00183C65" w:rsidP="00E75625">
            <w:pPr>
              <w:pStyle w:val="ListParagraph"/>
              <w:numPr>
                <w:ilvl w:val="0"/>
                <w:numId w:val="5"/>
              </w:numPr>
              <w:rPr>
                <w:color w:val="3B3838" w:themeColor="background2" w:themeShade="40"/>
                <w:sz w:val="24"/>
                <w:szCs w:val="24"/>
              </w:rPr>
            </w:pPr>
            <w:r w:rsidRPr="00BA3505">
              <w:rPr>
                <w:color w:val="3B3838" w:themeColor="background2" w:themeShade="40"/>
                <w:sz w:val="24"/>
                <w:szCs w:val="24"/>
              </w:rPr>
              <w:t xml:space="preserve">What are the </w:t>
            </w:r>
            <w:r w:rsidR="00876025" w:rsidRPr="00BA3505">
              <w:rPr>
                <w:color w:val="3B3838" w:themeColor="background2" w:themeShade="40"/>
                <w:sz w:val="24"/>
                <w:szCs w:val="24"/>
              </w:rPr>
              <w:t>most effective</w:t>
            </w:r>
            <w:r w:rsidRPr="00BA3505">
              <w:rPr>
                <w:color w:val="3B3838" w:themeColor="background2" w:themeShade="40"/>
                <w:sz w:val="24"/>
                <w:szCs w:val="24"/>
              </w:rPr>
              <w:t xml:space="preserve"> solutions</w:t>
            </w:r>
            <w:r w:rsidR="001B2CB8" w:rsidRPr="00BA3505">
              <w:rPr>
                <w:color w:val="3B3838" w:themeColor="background2" w:themeShade="40"/>
                <w:sz w:val="24"/>
                <w:szCs w:val="24"/>
              </w:rPr>
              <w:t xml:space="preserve">/approaches to supporting adults </w:t>
            </w:r>
            <w:r w:rsidR="00B425AF" w:rsidRPr="00BA3505">
              <w:rPr>
                <w:color w:val="3B3838" w:themeColor="background2" w:themeShade="40"/>
                <w:sz w:val="24"/>
                <w:szCs w:val="24"/>
              </w:rPr>
              <w:t xml:space="preserve">in our region </w:t>
            </w:r>
            <w:r w:rsidR="00112752" w:rsidRPr="00BA3505">
              <w:rPr>
                <w:color w:val="3B3838" w:themeColor="background2" w:themeShade="40"/>
                <w:sz w:val="24"/>
                <w:szCs w:val="24"/>
              </w:rPr>
              <w:t>with low levels of numeracy to</w:t>
            </w:r>
            <w:r w:rsidR="001B2CB8" w:rsidRPr="00BA3505">
              <w:rPr>
                <w:color w:val="3B3838" w:themeColor="background2" w:themeShade="40"/>
                <w:sz w:val="24"/>
                <w:szCs w:val="24"/>
              </w:rPr>
              <w:t xml:space="preserve"> improve </w:t>
            </w:r>
            <w:r w:rsidR="000F7CA2" w:rsidRPr="00BA3505">
              <w:rPr>
                <w:color w:val="3B3838" w:themeColor="background2" w:themeShade="40"/>
                <w:sz w:val="24"/>
                <w:szCs w:val="24"/>
              </w:rPr>
              <w:t xml:space="preserve">their </w:t>
            </w:r>
            <w:r w:rsidR="001B2CB8" w:rsidRPr="00BA3505">
              <w:rPr>
                <w:color w:val="3B3838" w:themeColor="background2" w:themeShade="40"/>
                <w:sz w:val="24"/>
                <w:szCs w:val="24"/>
              </w:rPr>
              <w:t>skills and confidence wit</w:t>
            </w:r>
            <w:r w:rsidR="000F7CA2" w:rsidRPr="00BA3505">
              <w:rPr>
                <w:color w:val="3B3838" w:themeColor="background2" w:themeShade="40"/>
                <w:sz w:val="24"/>
                <w:szCs w:val="24"/>
              </w:rPr>
              <w:t>h numbers?</w:t>
            </w:r>
          </w:p>
          <w:p w14:paraId="4A9FD4EB" w14:textId="345EBFD8" w:rsidR="00B425AF" w:rsidRPr="00BA3505" w:rsidRDefault="00B425AF" w:rsidP="00E75625">
            <w:pPr>
              <w:pStyle w:val="ListParagraph"/>
              <w:numPr>
                <w:ilvl w:val="0"/>
                <w:numId w:val="5"/>
              </w:numPr>
              <w:rPr>
                <w:color w:val="3B3838" w:themeColor="background2" w:themeShade="40"/>
              </w:rPr>
            </w:pPr>
            <w:r w:rsidRPr="00BA3505">
              <w:rPr>
                <w:color w:val="3B3838" w:themeColor="background2" w:themeShade="40"/>
                <w:sz w:val="24"/>
                <w:szCs w:val="24"/>
              </w:rPr>
              <w:t xml:space="preserve">There may be a range of solutions </w:t>
            </w:r>
            <w:r w:rsidR="006576E2" w:rsidRPr="00BA3505">
              <w:rPr>
                <w:color w:val="3B3838" w:themeColor="background2" w:themeShade="40"/>
                <w:sz w:val="24"/>
                <w:szCs w:val="24"/>
              </w:rPr>
              <w:t>that could be looked at, which ones would you most prioritise and why?</w:t>
            </w:r>
          </w:p>
        </w:tc>
      </w:tr>
      <w:tr w:rsidR="00BA3505" w:rsidRPr="00BA3505" w14:paraId="52B50DCB" w14:textId="77777777" w:rsidTr="30377470">
        <w:tc>
          <w:tcPr>
            <w:tcW w:w="9016" w:type="dxa"/>
          </w:tcPr>
          <w:p w14:paraId="43BE518D" w14:textId="77777777" w:rsidR="009F1381" w:rsidRPr="00BA3505" w:rsidRDefault="009F1381" w:rsidP="00105FA8">
            <w:pPr>
              <w:rPr>
                <w:color w:val="3B3838" w:themeColor="background2" w:themeShade="40"/>
                <w:sz w:val="24"/>
                <w:szCs w:val="24"/>
              </w:rPr>
            </w:pPr>
          </w:p>
          <w:p w14:paraId="23C71545" w14:textId="77777777" w:rsidR="006576E2" w:rsidRPr="00BA3505" w:rsidRDefault="006576E2" w:rsidP="00105FA8">
            <w:pPr>
              <w:rPr>
                <w:color w:val="3B3838" w:themeColor="background2" w:themeShade="40"/>
                <w:sz w:val="24"/>
                <w:szCs w:val="24"/>
              </w:rPr>
            </w:pPr>
          </w:p>
          <w:p w14:paraId="1DB263CE" w14:textId="77777777" w:rsidR="006576E2" w:rsidRPr="00BA3505" w:rsidRDefault="006576E2" w:rsidP="00105FA8">
            <w:pPr>
              <w:rPr>
                <w:color w:val="3B3838" w:themeColor="background2" w:themeShade="40"/>
                <w:sz w:val="24"/>
                <w:szCs w:val="24"/>
              </w:rPr>
            </w:pPr>
          </w:p>
          <w:p w14:paraId="545201A1" w14:textId="77777777" w:rsidR="006576E2" w:rsidRPr="00BA3505" w:rsidRDefault="006576E2" w:rsidP="00105FA8">
            <w:pPr>
              <w:rPr>
                <w:color w:val="3B3838" w:themeColor="background2" w:themeShade="40"/>
                <w:sz w:val="24"/>
                <w:szCs w:val="24"/>
              </w:rPr>
            </w:pPr>
          </w:p>
          <w:p w14:paraId="7279468C" w14:textId="77777777" w:rsidR="006576E2" w:rsidRPr="00BA3505" w:rsidRDefault="006576E2" w:rsidP="00105FA8">
            <w:pPr>
              <w:rPr>
                <w:color w:val="3B3838" w:themeColor="background2" w:themeShade="40"/>
                <w:sz w:val="24"/>
                <w:szCs w:val="24"/>
              </w:rPr>
            </w:pPr>
          </w:p>
          <w:p w14:paraId="244D6B0C" w14:textId="77777777" w:rsidR="006576E2" w:rsidRPr="00BA3505" w:rsidRDefault="006576E2" w:rsidP="00105FA8">
            <w:pPr>
              <w:rPr>
                <w:color w:val="3B3838" w:themeColor="background2" w:themeShade="40"/>
                <w:sz w:val="24"/>
                <w:szCs w:val="24"/>
              </w:rPr>
            </w:pPr>
          </w:p>
          <w:p w14:paraId="153B1C19" w14:textId="77777777" w:rsidR="006576E2" w:rsidRPr="00BA3505" w:rsidRDefault="006576E2" w:rsidP="00105FA8">
            <w:pPr>
              <w:rPr>
                <w:color w:val="3B3838" w:themeColor="background2" w:themeShade="40"/>
                <w:sz w:val="24"/>
                <w:szCs w:val="24"/>
              </w:rPr>
            </w:pPr>
          </w:p>
          <w:p w14:paraId="13AC8AAB" w14:textId="77777777" w:rsidR="006576E2" w:rsidRPr="00BA3505" w:rsidRDefault="006576E2" w:rsidP="00105FA8">
            <w:pPr>
              <w:rPr>
                <w:color w:val="3B3838" w:themeColor="background2" w:themeShade="40"/>
                <w:sz w:val="24"/>
                <w:szCs w:val="24"/>
              </w:rPr>
            </w:pPr>
          </w:p>
          <w:p w14:paraId="73C1D47B" w14:textId="77777777" w:rsidR="006576E2" w:rsidRPr="00BA3505" w:rsidRDefault="006576E2" w:rsidP="00105FA8">
            <w:pPr>
              <w:rPr>
                <w:color w:val="3B3838" w:themeColor="background2" w:themeShade="40"/>
                <w:sz w:val="24"/>
                <w:szCs w:val="24"/>
              </w:rPr>
            </w:pPr>
          </w:p>
          <w:p w14:paraId="49DA920A" w14:textId="77777777" w:rsidR="006576E2" w:rsidRPr="00BA3505" w:rsidRDefault="006576E2" w:rsidP="00105FA8">
            <w:pPr>
              <w:rPr>
                <w:color w:val="3B3838" w:themeColor="background2" w:themeShade="40"/>
                <w:sz w:val="24"/>
                <w:szCs w:val="24"/>
              </w:rPr>
            </w:pPr>
          </w:p>
          <w:p w14:paraId="5A8FD801" w14:textId="77777777" w:rsidR="006576E2" w:rsidRPr="00BA3505" w:rsidRDefault="006576E2" w:rsidP="00105FA8">
            <w:pPr>
              <w:rPr>
                <w:color w:val="3B3838" w:themeColor="background2" w:themeShade="40"/>
                <w:sz w:val="24"/>
                <w:szCs w:val="24"/>
              </w:rPr>
            </w:pPr>
          </w:p>
          <w:p w14:paraId="5532D229" w14:textId="77777777" w:rsidR="006576E2" w:rsidRPr="00BA3505" w:rsidRDefault="006576E2" w:rsidP="00105FA8">
            <w:pPr>
              <w:rPr>
                <w:color w:val="3B3838" w:themeColor="background2" w:themeShade="40"/>
                <w:sz w:val="24"/>
                <w:szCs w:val="24"/>
              </w:rPr>
            </w:pPr>
          </w:p>
          <w:p w14:paraId="5D158A8D" w14:textId="77777777" w:rsidR="006576E2" w:rsidRPr="00BA3505" w:rsidRDefault="006576E2" w:rsidP="00105FA8">
            <w:pPr>
              <w:rPr>
                <w:color w:val="3B3838" w:themeColor="background2" w:themeShade="40"/>
                <w:sz w:val="24"/>
                <w:szCs w:val="24"/>
              </w:rPr>
            </w:pPr>
          </w:p>
          <w:p w14:paraId="75B0F241" w14:textId="77777777" w:rsidR="006576E2" w:rsidRPr="00BA3505" w:rsidRDefault="006576E2" w:rsidP="00105FA8">
            <w:pPr>
              <w:rPr>
                <w:color w:val="3B3838" w:themeColor="background2" w:themeShade="40"/>
                <w:sz w:val="24"/>
                <w:szCs w:val="24"/>
              </w:rPr>
            </w:pPr>
          </w:p>
          <w:p w14:paraId="6C11C34A" w14:textId="77777777" w:rsidR="006576E2" w:rsidRPr="00BA3505" w:rsidRDefault="006576E2" w:rsidP="00105FA8">
            <w:pPr>
              <w:rPr>
                <w:color w:val="3B3838" w:themeColor="background2" w:themeShade="40"/>
                <w:sz w:val="24"/>
                <w:szCs w:val="24"/>
              </w:rPr>
            </w:pPr>
          </w:p>
          <w:p w14:paraId="7882C690" w14:textId="77777777" w:rsidR="006576E2" w:rsidRPr="00BA3505" w:rsidRDefault="006576E2" w:rsidP="00105FA8">
            <w:pPr>
              <w:rPr>
                <w:color w:val="3B3838" w:themeColor="background2" w:themeShade="40"/>
                <w:sz w:val="24"/>
                <w:szCs w:val="24"/>
              </w:rPr>
            </w:pPr>
          </w:p>
          <w:p w14:paraId="7D1983F2" w14:textId="77777777" w:rsidR="006576E2" w:rsidRPr="00BA3505" w:rsidRDefault="006576E2" w:rsidP="00105FA8">
            <w:pPr>
              <w:rPr>
                <w:color w:val="3B3838" w:themeColor="background2" w:themeShade="40"/>
                <w:sz w:val="24"/>
                <w:szCs w:val="24"/>
              </w:rPr>
            </w:pPr>
          </w:p>
          <w:p w14:paraId="176F03FE" w14:textId="77777777" w:rsidR="006576E2" w:rsidRPr="00BA3505" w:rsidRDefault="006576E2" w:rsidP="00105FA8">
            <w:pPr>
              <w:rPr>
                <w:color w:val="3B3838" w:themeColor="background2" w:themeShade="40"/>
                <w:sz w:val="24"/>
                <w:szCs w:val="24"/>
              </w:rPr>
            </w:pPr>
          </w:p>
          <w:p w14:paraId="1D547047" w14:textId="77777777" w:rsidR="006576E2" w:rsidRPr="00BA3505" w:rsidRDefault="006576E2" w:rsidP="00105FA8">
            <w:pPr>
              <w:rPr>
                <w:color w:val="3B3838" w:themeColor="background2" w:themeShade="40"/>
                <w:sz w:val="24"/>
                <w:szCs w:val="24"/>
              </w:rPr>
            </w:pPr>
          </w:p>
          <w:p w14:paraId="5B62E69A" w14:textId="77777777" w:rsidR="006576E2" w:rsidRPr="00BA3505" w:rsidRDefault="006576E2" w:rsidP="00105FA8">
            <w:pPr>
              <w:rPr>
                <w:color w:val="3B3838" w:themeColor="background2" w:themeShade="40"/>
                <w:sz w:val="24"/>
                <w:szCs w:val="24"/>
              </w:rPr>
            </w:pPr>
          </w:p>
          <w:p w14:paraId="5FE797BD" w14:textId="7C358EE3" w:rsidR="006576E2" w:rsidRPr="00BA3505" w:rsidRDefault="006576E2" w:rsidP="00105FA8">
            <w:pPr>
              <w:rPr>
                <w:color w:val="3B3838" w:themeColor="background2" w:themeShade="40"/>
                <w:sz w:val="24"/>
                <w:szCs w:val="24"/>
              </w:rPr>
            </w:pPr>
          </w:p>
        </w:tc>
      </w:tr>
      <w:tr w:rsidR="00BA3505" w:rsidRPr="00BA3505" w14:paraId="341BAF31" w14:textId="77777777" w:rsidTr="30377470">
        <w:tc>
          <w:tcPr>
            <w:tcW w:w="9016" w:type="dxa"/>
            <w:shd w:val="clear" w:color="auto" w:fill="D9D9D9" w:themeFill="background1" w:themeFillShade="D9"/>
          </w:tcPr>
          <w:p w14:paraId="127E1FE6" w14:textId="495AB3C7" w:rsidR="00084BB0" w:rsidRPr="00BA3505" w:rsidRDefault="00084BB0" w:rsidP="00105FA8">
            <w:pPr>
              <w:rPr>
                <w:b/>
                <w:bCs/>
                <w:color w:val="3B3838" w:themeColor="background2" w:themeShade="40"/>
                <w:sz w:val="24"/>
                <w:szCs w:val="24"/>
              </w:rPr>
            </w:pPr>
            <w:r w:rsidRPr="00BA3505">
              <w:rPr>
                <w:b/>
                <w:bCs/>
                <w:color w:val="3B3838" w:themeColor="background2" w:themeShade="40"/>
                <w:sz w:val="24"/>
                <w:szCs w:val="24"/>
              </w:rPr>
              <w:lastRenderedPageBreak/>
              <w:t xml:space="preserve">Delivering </w:t>
            </w:r>
            <w:r w:rsidR="00850C3D" w:rsidRPr="00BA3505">
              <w:rPr>
                <w:b/>
                <w:bCs/>
                <w:color w:val="3B3838" w:themeColor="background2" w:themeShade="40"/>
                <w:sz w:val="24"/>
                <w:szCs w:val="24"/>
              </w:rPr>
              <w:t xml:space="preserve">the </w:t>
            </w:r>
            <w:proofErr w:type="gramStart"/>
            <w:r w:rsidRPr="00BA3505">
              <w:rPr>
                <w:b/>
                <w:bCs/>
                <w:color w:val="3B3838" w:themeColor="background2" w:themeShade="40"/>
                <w:sz w:val="24"/>
                <w:szCs w:val="24"/>
              </w:rPr>
              <w:t>Solutions</w:t>
            </w:r>
            <w:proofErr w:type="gramEnd"/>
            <w:r w:rsidR="00850C3D" w:rsidRPr="00BA3505">
              <w:rPr>
                <w:b/>
                <w:bCs/>
                <w:color w:val="3B3838" w:themeColor="background2" w:themeShade="40"/>
                <w:sz w:val="24"/>
                <w:szCs w:val="24"/>
              </w:rPr>
              <w:t xml:space="preserve"> You Have Identified</w:t>
            </w:r>
          </w:p>
          <w:p w14:paraId="4B29FDC6" w14:textId="3502DCDE" w:rsidR="00434186" w:rsidRPr="00BA3505" w:rsidRDefault="00084BB0" w:rsidP="00105FA8">
            <w:pPr>
              <w:pStyle w:val="ListParagraph"/>
              <w:numPr>
                <w:ilvl w:val="0"/>
                <w:numId w:val="5"/>
              </w:numPr>
              <w:rPr>
                <w:color w:val="3B3838" w:themeColor="background2" w:themeShade="40"/>
                <w:sz w:val="24"/>
                <w:szCs w:val="24"/>
              </w:rPr>
            </w:pPr>
            <w:r w:rsidRPr="00BA3505">
              <w:rPr>
                <w:color w:val="3B3838" w:themeColor="background2" w:themeShade="40"/>
                <w:sz w:val="24"/>
                <w:szCs w:val="24"/>
              </w:rPr>
              <w:t xml:space="preserve">What </w:t>
            </w:r>
            <w:r w:rsidR="009D0FB0" w:rsidRPr="00BA3505">
              <w:rPr>
                <w:color w:val="3B3838" w:themeColor="background2" w:themeShade="40"/>
                <w:sz w:val="24"/>
                <w:szCs w:val="24"/>
              </w:rPr>
              <w:t>w</w:t>
            </w:r>
            <w:r w:rsidRPr="00BA3505">
              <w:rPr>
                <w:color w:val="3B3838" w:themeColor="background2" w:themeShade="40"/>
                <w:sz w:val="24"/>
                <w:szCs w:val="24"/>
              </w:rPr>
              <w:t xml:space="preserve">ould </w:t>
            </w:r>
            <w:r w:rsidR="009D0FB0" w:rsidRPr="00BA3505">
              <w:rPr>
                <w:color w:val="3B3838" w:themeColor="background2" w:themeShade="40"/>
                <w:sz w:val="24"/>
                <w:szCs w:val="24"/>
              </w:rPr>
              <w:t>we n</w:t>
            </w:r>
            <w:r w:rsidRPr="00BA3505">
              <w:rPr>
                <w:color w:val="3B3838" w:themeColor="background2" w:themeShade="40"/>
                <w:sz w:val="24"/>
                <w:szCs w:val="24"/>
              </w:rPr>
              <w:t>eed</w:t>
            </w:r>
            <w:r w:rsidR="007E0101" w:rsidRPr="00BA3505">
              <w:rPr>
                <w:color w:val="3B3838" w:themeColor="background2" w:themeShade="40"/>
                <w:sz w:val="24"/>
                <w:szCs w:val="24"/>
              </w:rPr>
              <w:t xml:space="preserve"> to have in place </w:t>
            </w:r>
            <w:r w:rsidR="00BD5A14" w:rsidRPr="00BA3505">
              <w:rPr>
                <w:color w:val="3B3838" w:themeColor="background2" w:themeShade="40"/>
                <w:sz w:val="24"/>
                <w:szCs w:val="24"/>
              </w:rPr>
              <w:t xml:space="preserve">to deliver the solutions </w:t>
            </w:r>
            <w:r w:rsidR="00481E72" w:rsidRPr="00BA3505">
              <w:rPr>
                <w:color w:val="3B3838" w:themeColor="background2" w:themeShade="40"/>
                <w:sz w:val="24"/>
                <w:szCs w:val="24"/>
              </w:rPr>
              <w:t>you have identified?</w:t>
            </w:r>
          </w:p>
          <w:p w14:paraId="28A2868F" w14:textId="77777777" w:rsidR="00873D4E" w:rsidRPr="00BA3505" w:rsidRDefault="00185FCE" w:rsidP="00105FA8">
            <w:pPr>
              <w:pStyle w:val="ListParagraph"/>
              <w:numPr>
                <w:ilvl w:val="0"/>
                <w:numId w:val="5"/>
              </w:numPr>
              <w:rPr>
                <w:color w:val="3B3838" w:themeColor="background2" w:themeShade="40"/>
                <w:sz w:val="24"/>
                <w:szCs w:val="24"/>
              </w:rPr>
            </w:pPr>
            <w:r w:rsidRPr="00BA3505">
              <w:rPr>
                <w:color w:val="3B3838" w:themeColor="background2" w:themeShade="40"/>
                <w:sz w:val="24"/>
                <w:szCs w:val="24"/>
              </w:rPr>
              <w:t xml:space="preserve">What </w:t>
            </w:r>
            <w:r w:rsidR="00434186" w:rsidRPr="00BA3505">
              <w:rPr>
                <w:color w:val="3B3838" w:themeColor="background2" w:themeShade="40"/>
                <w:sz w:val="24"/>
                <w:szCs w:val="24"/>
              </w:rPr>
              <w:t>d</w:t>
            </w:r>
            <w:r w:rsidRPr="00BA3505">
              <w:rPr>
                <w:color w:val="3B3838" w:themeColor="background2" w:themeShade="40"/>
                <w:sz w:val="24"/>
                <w:szCs w:val="24"/>
              </w:rPr>
              <w:t xml:space="preserve">o </w:t>
            </w:r>
            <w:r w:rsidR="00434186" w:rsidRPr="00BA3505">
              <w:rPr>
                <w:color w:val="3B3838" w:themeColor="background2" w:themeShade="40"/>
                <w:sz w:val="24"/>
                <w:szCs w:val="24"/>
              </w:rPr>
              <w:t>we a</w:t>
            </w:r>
            <w:r w:rsidRPr="00BA3505">
              <w:rPr>
                <w:color w:val="3B3838" w:themeColor="background2" w:themeShade="40"/>
                <w:sz w:val="24"/>
                <w:szCs w:val="24"/>
              </w:rPr>
              <w:t xml:space="preserve">lready </w:t>
            </w:r>
            <w:r w:rsidR="00434186" w:rsidRPr="00BA3505">
              <w:rPr>
                <w:color w:val="3B3838" w:themeColor="background2" w:themeShade="40"/>
                <w:sz w:val="24"/>
                <w:szCs w:val="24"/>
              </w:rPr>
              <w:t>h</w:t>
            </w:r>
            <w:r w:rsidRPr="00BA3505">
              <w:rPr>
                <w:color w:val="3B3838" w:themeColor="background2" w:themeShade="40"/>
                <w:sz w:val="24"/>
                <w:szCs w:val="24"/>
              </w:rPr>
              <w:t xml:space="preserve">ave </w:t>
            </w:r>
            <w:r w:rsidR="00867EBC" w:rsidRPr="00BA3505">
              <w:rPr>
                <w:color w:val="3B3838" w:themeColor="background2" w:themeShade="40"/>
                <w:sz w:val="24"/>
                <w:szCs w:val="24"/>
              </w:rPr>
              <w:t>i</w:t>
            </w:r>
            <w:r w:rsidRPr="00BA3505">
              <w:rPr>
                <w:color w:val="3B3838" w:themeColor="background2" w:themeShade="40"/>
                <w:sz w:val="24"/>
                <w:szCs w:val="24"/>
              </w:rPr>
              <w:t xml:space="preserve">n </w:t>
            </w:r>
            <w:r w:rsidR="00686781" w:rsidRPr="00BA3505">
              <w:rPr>
                <w:color w:val="3B3838" w:themeColor="background2" w:themeShade="40"/>
                <w:sz w:val="24"/>
                <w:szCs w:val="24"/>
              </w:rPr>
              <w:t>p</w:t>
            </w:r>
            <w:r w:rsidRPr="00BA3505">
              <w:rPr>
                <w:color w:val="3B3838" w:themeColor="background2" w:themeShade="40"/>
                <w:sz w:val="24"/>
                <w:szCs w:val="24"/>
              </w:rPr>
              <w:t>lace</w:t>
            </w:r>
            <w:r w:rsidR="00867EBC" w:rsidRPr="00BA3505">
              <w:rPr>
                <w:color w:val="3B3838" w:themeColor="background2" w:themeShade="40"/>
                <w:sz w:val="24"/>
                <w:szCs w:val="24"/>
              </w:rPr>
              <w:t xml:space="preserve"> (funding, provision etc.)</w:t>
            </w:r>
            <w:r w:rsidR="00873D4E" w:rsidRPr="00BA3505">
              <w:rPr>
                <w:color w:val="3B3838" w:themeColor="background2" w:themeShade="40"/>
                <w:sz w:val="24"/>
                <w:szCs w:val="24"/>
              </w:rPr>
              <w:t xml:space="preserve"> and what else would we need to put in place?</w:t>
            </w:r>
          </w:p>
          <w:p w14:paraId="06DF0050" w14:textId="2C17AE16" w:rsidR="00084BB0" w:rsidRPr="00BA3505" w:rsidRDefault="00084BB0" w:rsidP="00105FA8">
            <w:pPr>
              <w:pStyle w:val="ListParagraph"/>
              <w:numPr>
                <w:ilvl w:val="0"/>
                <w:numId w:val="5"/>
              </w:numPr>
              <w:rPr>
                <w:color w:val="3B3838" w:themeColor="background2" w:themeShade="40"/>
                <w:sz w:val="24"/>
                <w:szCs w:val="24"/>
              </w:rPr>
            </w:pPr>
            <w:r w:rsidRPr="00BA3505">
              <w:rPr>
                <w:color w:val="3B3838" w:themeColor="background2" w:themeShade="40"/>
                <w:sz w:val="24"/>
                <w:szCs w:val="24"/>
              </w:rPr>
              <w:t xml:space="preserve">How could </w:t>
            </w:r>
            <w:r w:rsidR="00873D4E" w:rsidRPr="00BA3505">
              <w:rPr>
                <w:color w:val="3B3838" w:themeColor="background2" w:themeShade="40"/>
                <w:sz w:val="24"/>
                <w:szCs w:val="24"/>
              </w:rPr>
              <w:t xml:space="preserve">the </w:t>
            </w:r>
            <w:r w:rsidRPr="00BA3505">
              <w:rPr>
                <w:color w:val="3B3838" w:themeColor="background2" w:themeShade="40"/>
                <w:sz w:val="24"/>
                <w:szCs w:val="24"/>
              </w:rPr>
              <w:t xml:space="preserve">solutions </w:t>
            </w:r>
            <w:r w:rsidR="00873D4E" w:rsidRPr="00BA3505">
              <w:rPr>
                <w:color w:val="3B3838" w:themeColor="background2" w:themeShade="40"/>
                <w:sz w:val="24"/>
                <w:szCs w:val="24"/>
              </w:rPr>
              <w:t xml:space="preserve">you have identified </w:t>
            </w:r>
            <w:r w:rsidRPr="00BA3505">
              <w:rPr>
                <w:color w:val="3B3838" w:themeColor="background2" w:themeShade="40"/>
                <w:sz w:val="24"/>
                <w:szCs w:val="24"/>
              </w:rPr>
              <w:t>be sustained?</w:t>
            </w:r>
          </w:p>
        </w:tc>
      </w:tr>
      <w:tr w:rsidR="00BA3505" w:rsidRPr="00BA3505" w14:paraId="58EA9931" w14:textId="77777777" w:rsidTr="30377470">
        <w:tc>
          <w:tcPr>
            <w:tcW w:w="9016" w:type="dxa"/>
          </w:tcPr>
          <w:p w14:paraId="5EFAE816" w14:textId="77777777" w:rsidR="009F1381" w:rsidRPr="00BA3505" w:rsidRDefault="009F1381" w:rsidP="00105FA8">
            <w:pPr>
              <w:rPr>
                <w:color w:val="3B3838" w:themeColor="background2" w:themeShade="40"/>
              </w:rPr>
            </w:pPr>
          </w:p>
          <w:p w14:paraId="3EF2A8FD" w14:textId="77777777" w:rsidR="00084BB0" w:rsidRPr="00BA3505" w:rsidRDefault="00084BB0" w:rsidP="00105FA8">
            <w:pPr>
              <w:rPr>
                <w:color w:val="3B3838" w:themeColor="background2" w:themeShade="40"/>
              </w:rPr>
            </w:pPr>
          </w:p>
          <w:p w14:paraId="70E66D3D" w14:textId="77777777" w:rsidR="00084BB0" w:rsidRPr="00BA3505" w:rsidRDefault="00084BB0" w:rsidP="00105FA8">
            <w:pPr>
              <w:rPr>
                <w:color w:val="3B3838" w:themeColor="background2" w:themeShade="40"/>
              </w:rPr>
            </w:pPr>
          </w:p>
          <w:p w14:paraId="4E3954B1" w14:textId="77777777" w:rsidR="00084BB0" w:rsidRPr="00BA3505" w:rsidRDefault="00084BB0" w:rsidP="00105FA8">
            <w:pPr>
              <w:rPr>
                <w:color w:val="3B3838" w:themeColor="background2" w:themeShade="40"/>
              </w:rPr>
            </w:pPr>
          </w:p>
          <w:p w14:paraId="3BBDDE35" w14:textId="77777777" w:rsidR="00084BB0" w:rsidRPr="00BA3505" w:rsidRDefault="00084BB0" w:rsidP="00105FA8">
            <w:pPr>
              <w:rPr>
                <w:color w:val="3B3838" w:themeColor="background2" w:themeShade="40"/>
              </w:rPr>
            </w:pPr>
          </w:p>
          <w:p w14:paraId="3C3E33F9" w14:textId="77777777" w:rsidR="00084BB0" w:rsidRPr="00BA3505" w:rsidRDefault="00084BB0" w:rsidP="00105FA8">
            <w:pPr>
              <w:rPr>
                <w:color w:val="3B3838" w:themeColor="background2" w:themeShade="40"/>
              </w:rPr>
            </w:pPr>
          </w:p>
          <w:p w14:paraId="327DD421" w14:textId="77777777" w:rsidR="00084BB0" w:rsidRPr="00BA3505" w:rsidRDefault="00084BB0" w:rsidP="00105FA8">
            <w:pPr>
              <w:rPr>
                <w:color w:val="3B3838" w:themeColor="background2" w:themeShade="40"/>
              </w:rPr>
            </w:pPr>
          </w:p>
          <w:p w14:paraId="4A00D61A" w14:textId="77777777" w:rsidR="00084BB0" w:rsidRPr="00BA3505" w:rsidRDefault="00084BB0" w:rsidP="00105FA8">
            <w:pPr>
              <w:rPr>
                <w:color w:val="3B3838" w:themeColor="background2" w:themeShade="40"/>
              </w:rPr>
            </w:pPr>
          </w:p>
          <w:p w14:paraId="50E7D746" w14:textId="77777777" w:rsidR="00084BB0" w:rsidRPr="00BA3505" w:rsidRDefault="00084BB0" w:rsidP="00105FA8">
            <w:pPr>
              <w:rPr>
                <w:color w:val="3B3838" w:themeColor="background2" w:themeShade="40"/>
              </w:rPr>
            </w:pPr>
          </w:p>
          <w:p w14:paraId="04CDF542" w14:textId="77777777" w:rsidR="00084BB0" w:rsidRPr="00BA3505" w:rsidRDefault="00084BB0" w:rsidP="00105FA8">
            <w:pPr>
              <w:rPr>
                <w:color w:val="3B3838" w:themeColor="background2" w:themeShade="40"/>
              </w:rPr>
            </w:pPr>
          </w:p>
          <w:p w14:paraId="686DCD2D" w14:textId="77777777" w:rsidR="00084BB0" w:rsidRPr="00BA3505" w:rsidRDefault="00084BB0" w:rsidP="00105FA8">
            <w:pPr>
              <w:rPr>
                <w:color w:val="3B3838" w:themeColor="background2" w:themeShade="40"/>
              </w:rPr>
            </w:pPr>
          </w:p>
          <w:p w14:paraId="5F5C018D" w14:textId="77777777" w:rsidR="00084BB0" w:rsidRPr="00BA3505" w:rsidRDefault="00084BB0" w:rsidP="00105FA8">
            <w:pPr>
              <w:rPr>
                <w:color w:val="3B3838" w:themeColor="background2" w:themeShade="40"/>
              </w:rPr>
            </w:pPr>
          </w:p>
          <w:p w14:paraId="0E74DA89" w14:textId="77777777" w:rsidR="00084BB0" w:rsidRPr="00BA3505" w:rsidRDefault="00084BB0" w:rsidP="00105FA8">
            <w:pPr>
              <w:rPr>
                <w:color w:val="3B3838" w:themeColor="background2" w:themeShade="40"/>
              </w:rPr>
            </w:pPr>
          </w:p>
          <w:p w14:paraId="2CFA34C3" w14:textId="77777777" w:rsidR="00084BB0" w:rsidRPr="00BA3505" w:rsidRDefault="00084BB0" w:rsidP="00105FA8">
            <w:pPr>
              <w:rPr>
                <w:color w:val="3B3838" w:themeColor="background2" w:themeShade="40"/>
              </w:rPr>
            </w:pPr>
          </w:p>
          <w:p w14:paraId="0B9392AA" w14:textId="77777777" w:rsidR="00084BB0" w:rsidRPr="00BA3505" w:rsidRDefault="00084BB0" w:rsidP="00105FA8">
            <w:pPr>
              <w:rPr>
                <w:color w:val="3B3838" w:themeColor="background2" w:themeShade="40"/>
              </w:rPr>
            </w:pPr>
          </w:p>
          <w:p w14:paraId="1AD3C443" w14:textId="77777777" w:rsidR="00084BB0" w:rsidRPr="00BA3505" w:rsidRDefault="00084BB0" w:rsidP="00105FA8">
            <w:pPr>
              <w:rPr>
                <w:color w:val="3B3838" w:themeColor="background2" w:themeShade="40"/>
              </w:rPr>
            </w:pPr>
          </w:p>
          <w:p w14:paraId="7B3E3980" w14:textId="77777777" w:rsidR="00084BB0" w:rsidRPr="00BA3505" w:rsidRDefault="00084BB0" w:rsidP="00105FA8">
            <w:pPr>
              <w:rPr>
                <w:color w:val="3B3838" w:themeColor="background2" w:themeShade="40"/>
              </w:rPr>
            </w:pPr>
          </w:p>
          <w:p w14:paraId="243D0FAE" w14:textId="77777777" w:rsidR="00084BB0" w:rsidRPr="00BA3505" w:rsidRDefault="00084BB0" w:rsidP="00105FA8">
            <w:pPr>
              <w:rPr>
                <w:color w:val="3B3838" w:themeColor="background2" w:themeShade="40"/>
              </w:rPr>
            </w:pPr>
          </w:p>
          <w:p w14:paraId="251CB222" w14:textId="0F857A0E" w:rsidR="00084BB0" w:rsidRPr="00BA3505" w:rsidRDefault="00084BB0" w:rsidP="00105FA8">
            <w:pPr>
              <w:rPr>
                <w:color w:val="3B3838" w:themeColor="background2" w:themeShade="40"/>
              </w:rPr>
            </w:pPr>
          </w:p>
        </w:tc>
      </w:tr>
      <w:tr w:rsidR="00BA3505" w:rsidRPr="00BA3505" w14:paraId="74CDEE66" w14:textId="77777777" w:rsidTr="30377470">
        <w:tc>
          <w:tcPr>
            <w:tcW w:w="9016" w:type="dxa"/>
            <w:shd w:val="clear" w:color="auto" w:fill="D9D9D9" w:themeFill="background1" w:themeFillShade="D9"/>
          </w:tcPr>
          <w:p w14:paraId="156D10A0" w14:textId="77777777" w:rsidR="00252B52" w:rsidRPr="00BA3505" w:rsidRDefault="00252B52" w:rsidP="00105FA8">
            <w:pPr>
              <w:rPr>
                <w:color w:val="3B3838" w:themeColor="background2" w:themeShade="40"/>
                <w:sz w:val="24"/>
                <w:szCs w:val="24"/>
              </w:rPr>
            </w:pPr>
            <w:r w:rsidRPr="00BA3505">
              <w:rPr>
                <w:b/>
                <w:bCs/>
                <w:color w:val="3B3838" w:themeColor="background2" w:themeShade="40"/>
                <w:sz w:val="24"/>
                <w:szCs w:val="24"/>
              </w:rPr>
              <w:t>Dovetailing with Other Programmes</w:t>
            </w:r>
            <w:r w:rsidR="00A01C22" w:rsidRPr="00BA3505">
              <w:rPr>
                <w:b/>
                <w:bCs/>
                <w:color w:val="3B3838" w:themeColor="background2" w:themeShade="40"/>
                <w:sz w:val="24"/>
                <w:szCs w:val="24"/>
              </w:rPr>
              <w:t>/Support</w:t>
            </w:r>
          </w:p>
          <w:p w14:paraId="55A6A327" w14:textId="5AD51AF9" w:rsidR="00A01C22" w:rsidRPr="00BA3505" w:rsidRDefault="00A01C22" w:rsidP="00A01C22">
            <w:pPr>
              <w:pStyle w:val="ListParagraph"/>
              <w:numPr>
                <w:ilvl w:val="0"/>
                <w:numId w:val="5"/>
              </w:numPr>
              <w:rPr>
                <w:color w:val="3B3838" w:themeColor="background2" w:themeShade="40"/>
              </w:rPr>
            </w:pPr>
            <w:r w:rsidRPr="00BA3505">
              <w:rPr>
                <w:color w:val="3B3838" w:themeColor="background2" w:themeShade="40"/>
                <w:sz w:val="24"/>
                <w:szCs w:val="24"/>
              </w:rPr>
              <w:t xml:space="preserve">How can we ensure that </w:t>
            </w:r>
            <w:r w:rsidR="002C7F54" w:rsidRPr="00BA3505">
              <w:rPr>
                <w:color w:val="3B3838" w:themeColor="background2" w:themeShade="40"/>
                <w:sz w:val="24"/>
                <w:szCs w:val="24"/>
              </w:rPr>
              <w:t>M</w:t>
            </w:r>
            <w:r w:rsidRPr="00BA3505">
              <w:rPr>
                <w:color w:val="3B3838" w:themeColor="background2" w:themeShade="40"/>
                <w:sz w:val="24"/>
                <w:szCs w:val="24"/>
              </w:rPr>
              <w:t>ultiply overall</w:t>
            </w:r>
            <w:r w:rsidR="00044268" w:rsidRPr="00BA3505">
              <w:rPr>
                <w:color w:val="3B3838" w:themeColor="background2" w:themeShade="40"/>
                <w:sz w:val="24"/>
                <w:szCs w:val="24"/>
              </w:rPr>
              <w:t xml:space="preserve"> (including</w:t>
            </w:r>
            <w:r w:rsidRPr="00BA3505">
              <w:rPr>
                <w:color w:val="3B3838" w:themeColor="background2" w:themeShade="40"/>
                <w:sz w:val="24"/>
                <w:szCs w:val="24"/>
              </w:rPr>
              <w:t xml:space="preserve"> the </w:t>
            </w:r>
            <w:r w:rsidR="002C7F54" w:rsidRPr="00BA3505">
              <w:rPr>
                <w:color w:val="3B3838" w:themeColor="background2" w:themeShade="40"/>
                <w:sz w:val="24"/>
                <w:szCs w:val="24"/>
              </w:rPr>
              <w:t>solutions you have identified</w:t>
            </w:r>
            <w:r w:rsidR="00044268" w:rsidRPr="00BA3505">
              <w:rPr>
                <w:color w:val="3B3838" w:themeColor="background2" w:themeShade="40"/>
                <w:sz w:val="24"/>
                <w:szCs w:val="24"/>
              </w:rPr>
              <w:t xml:space="preserve">) don’t displace, replace and/or </w:t>
            </w:r>
            <w:r w:rsidR="007C50A7" w:rsidRPr="00BA3505">
              <w:rPr>
                <w:color w:val="3B3838" w:themeColor="background2" w:themeShade="40"/>
                <w:sz w:val="24"/>
                <w:szCs w:val="24"/>
              </w:rPr>
              <w:t>duplicate activity especially elements funded through the devolved Adult Education Budget (including</w:t>
            </w:r>
            <w:r w:rsidR="00F03A7B" w:rsidRPr="00BA3505">
              <w:rPr>
                <w:color w:val="3B3838" w:themeColor="background2" w:themeShade="40"/>
                <w:sz w:val="24"/>
                <w:szCs w:val="24"/>
              </w:rPr>
              <w:t xml:space="preserve"> both the Community Learning and Adult Skills elements</w:t>
            </w:r>
            <w:proofErr w:type="gramStart"/>
            <w:r w:rsidR="00F03A7B" w:rsidRPr="00BA3505">
              <w:rPr>
                <w:color w:val="3B3838" w:themeColor="background2" w:themeShade="40"/>
                <w:sz w:val="24"/>
                <w:szCs w:val="24"/>
              </w:rPr>
              <w:t>).</w:t>
            </w:r>
            <w:proofErr w:type="gramEnd"/>
          </w:p>
        </w:tc>
      </w:tr>
      <w:tr w:rsidR="00BA3505" w:rsidRPr="00BA3505" w14:paraId="0E5EA6FC" w14:textId="77777777" w:rsidTr="30377470">
        <w:tc>
          <w:tcPr>
            <w:tcW w:w="9016" w:type="dxa"/>
          </w:tcPr>
          <w:p w14:paraId="126C33F1" w14:textId="77777777" w:rsidR="00252B52" w:rsidRPr="00BA3505" w:rsidRDefault="00252B52" w:rsidP="00105FA8">
            <w:pPr>
              <w:rPr>
                <w:color w:val="3B3838" w:themeColor="background2" w:themeShade="40"/>
              </w:rPr>
            </w:pPr>
          </w:p>
          <w:p w14:paraId="31DE551A" w14:textId="77777777" w:rsidR="002C3379" w:rsidRPr="00BA3505" w:rsidRDefault="002C3379" w:rsidP="00105FA8">
            <w:pPr>
              <w:rPr>
                <w:color w:val="3B3838" w:themeColor="background2" w:themeShade="40"/>
              </w:rPr>
            </w:pPr>
          </w:p>
          <w:p w14:paraId="234EE867" w14:textId="77777777" w:rsidR="002C3379" w:rsidRPr="00BA3505" w:rsidRDefault="002C3379" w:rsidP="00105FA8">
            <w:pPr>
              <w:rPr>
                <w:color w:val="3B3838" w:themeColor="background2" w:themeShade="40"/>
              </w:rPr>
            </w:pPr>
          </w:p>
          <w:p w14:paraId="34845B4B" w14:textId="77777777" w:rsidR="002C3379" w:rsidRPr="00BA3505" w:rsidRDefault="002C3379" w:rsidP="00105FA8">
            <w:pPr>
              <w:rPr>
                <w:color w:val="3B3838" w:themeColor="background2" w:themeShade="40"/>
              </w:rPr>
            </w:pPr>
          </w:p>
          <w:p w14:paraId="5E8E6913" w14:textId="77777777" w:rsidR="002C3379" w:rsidRPr="00BA3505" w:rsidRDefault="002C3379" w:rsidP="00105FA8">
            <w:pPr>
              <w:rPr>
                <w:color w:val="3B3838" w:themeColor="background2" w:themeShade="40"/>
              </w:rPr>
            </w:pPr>
          </w:p>
          <w:p w14:paraId="01726E17" w14:textId="77777777" w:rsidR="002C3379" w:rsidRPr="00BA3505" w:rsidRDefault="002C3379" w:rsidP="00105FA8">
            <w:pPr>
              <w:rPr>
                <w:color w:val="3B3838" w:themeColor="background2" w:themeShade="40"/>
              </w:rPr>
            </w:pPr>
          </w:p>
          <w:p w14:paraId="046B9981" w14:textId="77777777" w:rsidR="002C3379" w:rsidRPr="00BA3505" w:rsidRDefault="002C3379" w:rsidP="00105FA8">
            <w:pPr>
              <w:rPr>
                <w:color w:val="3B3838" w:themeColor="background2" w:themeShade="40"/>
              </w:rPr>
            </w:pPr>
          </w:p>
          <w:p w14:paraId="4901D5D2" w14:textId="77777777" w:rsidR="002C3379" w:rsidRPr="00BA3505" w:rsidRDefault="002C3379" w:rsidP="00105FA8">
            <w:pPr>
              <w:rPr>
                <w:color w:val="3B3838" w:themeColor="background2" w:themeShade="40"/>
              </w:rPr>
            </w:pPr>
          </w:p>
          <w:p w14:paraId="27210E17" w14:textId="77777777" w:rsidR="002C3379" w:rsidRPr="00BA3505" w:rsidRDefault="002C3379" w:rsidP="00105FA8">
            <w:pPr>
              <w:rPr>
                <w:color w:val="3B3838" w:themeColor="background2" w:themeShade="40"/>
              </w:rPr>
            </w:pPr>
          </w:p>
          <w:p w14:paraId="6B4D43F5" w14:textId="77777777" w:rsidR="002C3379" w:rsidRPr="00BA3505" w:rsidRDefault="002C3379" w:rsidP="00105FA8">
            <w:pPr>
              <w:rPr>
                <w:color w:val="3B3838" w:themeColor="background2" w:themeShade="40"/>
              </w:rPr>
            </w:pPr>
          </w:p>
          <w:p w14:paraId="22A2EDB2" w14:textId="77777777" w:rsidR="002C3379" w:rsidRPr="00BA3505" w:rsidRDefault="002C3379" w:rsidP="00105FA8">
            <w:pPr>
              <w:rPr>
                <w:color w:val="3B3838" w:themeColor="background2" w:themeShade="40"/>
              </w:rPr>
            </w:pPr>
          </w:p>
          <w:p w14:paraId="20933416" w14:textId="77777777" w:rsidR="002C3379" w:rsidRPr="00BA3505" w:rsidRDefault="002C3379" w:rsidP="00105FA8">
            <w:pPr>
              <w:rPr>
                <w:color w:val="3B3838" w:themeColor="background2" w:themeShade="40"/>
              </w:rPr>
            </w:pPr>
          </w:p>
          <w:p w14:paraId="5EA60E68" w14:textId="77777777" w:rsidR="002C3379" w:rsidRPr="00BA3505" w:rsidRDefault="002C3379" w:rsidP="00105FA8">
            <w:pPr>
              <w:rPr>
                <w:color w:val="3B3838" w:themeColor="background2" w:themeShade="40"/>
              </w:rPr>
            </w:pPr>
          </w:p>
          <w:p w14:paraId="0C755F37" w14:textId="77777777" w:rsidR="002C3379" w:rsidRPr="00BA3505" w:rsidRDefault="002C3379" w:rsidP="00105FA8">
            <w:pPr>
              <w:rPr>
                <w:color w:val="3B3838" w:themeColor="background2" w:themeShade="40"/>
              </w:rPr>
            </w:pPr>
          </w:p>
          <w:p w14:paraId="5E79D649" w14:textId="77777777" w:rsidR="002C3379" w:rsidRPr="00BA3505" w:rsidRDefault="002C3379" w:rsidP="00105FA8">
            <w:pPr>
              <w:rPr>
                <w:color w:val="3B3838" w:themeColor="background2" w:themeShade="40"/>
              </w:rPr>
            </w:pPr>
          </w:p>
          <w:p w14:paraId="47E30641" w14:textId="77777777" w:rsidR="002C3379" w:rsidRPr="00BA3505" w:rsidRDefault="002C3379" w:rsidP="00105FA8">
            <w:pPr>
              <w:rPr>
                <w:color w:val="3B3838" w:themeColor="background2" w:themeShade="40"/>
              </w:rPr>
            </w:pPr>
          </w:p>
          <w:p w14:paraId="539BB99E" w14:textId="77777777" w:rsidR="002C3379" w:rsidRPr="00BA3505" w:rsidRDefault="002C3379" w:rsidP="00105FA8">
            <w:pPr>
              <w:rPr>
                <w:color w:val="3B3838" w:themeColor="background2" w:themeShade="40"/>
              </w:rPr>
            </w:pPr>
          </w:p>
          <w:p w14:paraId="06D6C67E" w14:textId="77777777" w:rsidR="002C3379" w:rsidRPr="00BA3505" w:rsidRDefault="002C3379" w:rsidP="00105FA8">
            <w:pPr>
              <w:rPr>
                <w:color w:val="3B3838" w:themeColor="background2" w:themeShade="40"/>
              </w:rPr>
            </w:pPr>
          </w:p>
          <w:p w14:paraId="4DA8497E" w14:textId="77777777" w:rsidR="002C3379" w:rsidRPr="00BA3505" w:rsidRDefault="002C3379" w:rsidP="00105FA8">
            <w:pPr>
              <w:rPr>
                <w:color w:val="3B3838" w:themeColor="background2" w:themeShade="40"/>
              </w:rPr>
            </w:pPr>
          </w:p>
          <w:p w14:paraId="59179CD8" w14:textId="77777777" w:rsidR="002C3379" w:rsidRPr="00BA3505" w:rsidRDefault="002C3379" w:rsidP="00105FA8">
            <w:pPr>
              <w:rPr>
                <w:color w:val="3B3838" w:themeColor="background2" w:themeShade="40"/>
              </w:rPr>
            </w:pPr>
          </w:p>
          <w:p w14:paraId="76D2C1B8" w14:textId="79E8F4A4" w:rsidR="002C3379" w:rsidRPr="00BA3505" w:rsidRDefault="002C3379" w:rsidP="00105FA8">
            <w:pPr>
              <w:rPr>
                <w:color w:val="3B3838" w:themeColor="background2" w:themeShade="40"/>
              </w:rPr>
            </w:pPr>
          </w:p>
        </w:tc>
      </w:tr>
    </w:tbl>
    <w:p w14:paraId="50593F8F" w14:textId="77777777" w:rsidR="008725D1" w:rsidRPr="00BA3505" w:rsidRDefault="008725D1" w:rsidP="00105FA8">
      <w:pPr>
        <w:spacing w:after="0"/>
        <w:rPr>
          <w:color w:val="3B3838" w:themeColor="background2" w:themeShade="40"/>
        </w:rPr>
        <w:sectPr w:rsidR="008725D1" w:rsidRPr="00BA3505">
          <w:headerReference w:type="default" r:id="rId11"/>
          <w:footerReference w:type="default" r:id="rId12"/>
          <w:pgSz w:w="11906" w:h="16838"/>
          <w:pgMar w:top="1440" w:right="1440" w:bottom="1440" w:left="1440" w:header="708" w:footer="708" w:gutter="0"/>
          <w:cols w:space="708"/>
          <w:docGrid w:linePitch="360"/>
        </w:sectPr>
      </w:pPr>
    </w:p>
    <w:p w14:paraId="69867E93" w14:textId="765C5C99" w:rsidR="00E924A7" w:rsidRDefault="00E924A7" w:rsidP="00105FA8">
      <w:pPr>
        <w:spacing w:after="0"/>
      </w:pPr>
    </w:p>
    <w:p w14:paraId="69C694F6" w14:textId="77777777" w:rsidR="00ED417A" w:rsidRPr="00D62315" w:rsidRDefault="00ED417A" w:rsidP="00ED417A">
      <w:pPr>
        <w:spacing w:after="0"/>
        <w:rPr>
          <w:rFonts w:cstheme="minorHAnsi"/>
          <w:sz w:val="32"/>
          <w:szCs w:val="32"/>
        </w:rPr>
      </w:pPr>
      <w:r w:rsidRPr="00D62315">
        <w:rPr>
          <w:rFonts w:cstheme="minorHAnsi"/>
          <w:b/>
          <w:bCs/>
          <w:sz w:val="32"/>
          <w:szCs w:val="32"/>
        </w:rPr>
        <w:t>Numeracy in education</w:t>
      </w:r>
    </w:p>
    <w:p w14:paraId="024D974F" w14:textId="77777777" w:rsidR="00ED417A" w:rsidRPr="00FA3387" w:rsidRDefault="00ED417A" w:rsidP="00ED417A">
      <w:pPr>
        <w:spacing w:after="0"/>
        <w:rPr>
          <w:rFonts w:cstheme="minorHAnsi"/>
          <w:sz w:val="24"/>
          <w:szCs w:val="24"/>
        </w:rPr>
      </w:pPr>
      <w:r w:rsidRPr="00FA3387">
        <w:rPr>
          <w:rFonts w:cstheme="minorHAnsi"/>
          <w:sz w:val="24"/>
          <w:szCs w:val="24"/>
        </w:rPr>
        <w:t xml:space="preserve">Looking at involvement in maths-related subjects at KS4 level and beyond is a potential indicator of adult levels of numeracy. The graph below shows the number of pupils </w:t>
      </w:r>
      <w:r w:rsidRPr="00FA3387">
        <w:rPr>
          <w:rFonts w:cstheme="minorHAnsi"/>
          <w:b/>
          <w:bCs/>
          <w:sz w:val="24"/>
          <w:szCs w:val="24"/>
        </w:rPr>
        <w:t xml:space="preserve">nationally </w:t>
      </w:r>
      <w:r w:rsidRPr="00FA3387">
        <w:rPr>
          <w:rFonts w:cstheme="minorHAnsi"/>
          <w:sz w:val="24"/>
          <w:szCs w:val="24"/>
        </w:rPr>
        <w:t xml:space="preserve">taking Statistics GCSE as a percentage of pupils taking the Maths GCSE: Statistics is an optional GCSE taken by those interested in more complex mathematics, while Mathematics is a core GCSE taken by most pupils. </w:t>
      </w:r>
    </w:p>
    <w:p w14:paraId="75B2616D" w14:textId="77777777" w:rsidR="00ED417A" w:rsidRPr="00F42C0D" w:rsidRDefault="00ED417A" w:rsidP="00ED417A">
      <w:pPr>
        <w:spacing w:after="0"/>
        <w:rPr>
          <w:rFonts w:cstheme="minorHAnsi"/>
        </w:rPr>
      </w:pPr>
    </w:p>
    <w:p w14:paraId="5750877D" w14:textId="77777777" w:rsidR="00ED417A" w:rsidRPr="00F42C0D" w:rsidRDefault="00ED417A" w:rsidP="00ED417A">
      <w:pPr>
        <w:spacing w:after="0"/>
        <w:rPr>
          <w:rFonts w:cstheme="minorHAnsi"/>
        </w:rPr>
      </w:pPr>
      <w:r w:rsidRPr="00F42C0D">
        <w:rPr>
          <w:rFonts w:cstheme="minorHAnsi"/>
          <w:noProof/>
        </w:rPr>
        <w:drawing>
          <wp:inline distT="0" distB="0" distL="0" distR="0" wp14:anchorId="6B11AB8E" wp14:editId="4EEAD4B2">
            <wp:extent cx="4572000" cy="2743200"/>
            <wp:effectExtent l="0" t="0" r="0" b="0"/>
            <wp:docPr id="2" name="Chart 2" descr="Graph of pupils taking statistics at GCSE as a percentage of those taking maths has declined from 2009/10 to 2020/21">
              <a:extLst xmlns:a="http://schemas.openxmlformats.org/drawingml/2006/main">
                <a:ext uri="{FF2B5EF4-FFF2-40B4-BE49-F238E27FC236}">
                  <a16:creationId xmlns:a16="http://schemas.microsoft.com/office/drawing/2014/main" id="{9ECEF6D6-561D-4DD9-A914-AFBFFE9F2F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6A9EC0" w14:textId="77777777" w:rsidR="00ED417A" w:rsidRPr="00F42C0D" w:rsidRDefault="00ED417A" w:rsidP="00ED417A">
      <w:pPr>
        <w:spacing w:after="0"/>
        <w:rPr>
          <w:rFonts w:cstheme="minorHAnsi"/>
        </w:rPr>
      </w:pPr>
    </w:p>
    <w:p w14:paraId="60590B82" w14:textId="77777777" w:rsidR="00ED417A" w:rsidRPr="00FA3387" w:rsidRDefault="00ED417A" w:rsidP="00ED417A">
      <w:pPr>
        <w:spacing w:after="0"/>
        <w:rPr>
          <w:rFonts w:cstheme="minorHAnsi"/>
          <w:sz w:val="24"/>
          <w:szCs w:val="24"/>
        </w:rPr>
      </w:pPr>
      <w:r w:rsidRPr="00FA3387">
        <w:rPr>
          <w:rFonts w:cstheme="minorHAnsi"/>
          <w:sz w:val="24"/>
          <w:szCs w:val="24"/>
        </w:rPr>
        <w:t xml:space="preserve">The percentage has dropped from 12% in 2009/10 to close to 4% in 2020/21. This suggests that nationally, maths is a less popular subject and one that fewer pupils are choosing to continue to a higher standard. </w:t>
      </w:r>
    </w:p>
    <w:p w14:paraId="531B594F" w14:textId="77777777" w:rsidR="00ED417A" w:rsidRPr="00FA3387" w:rsidRDefault="00ED417A" w:rsidP="00ED417A">
      <w:pPr>
        <w:spacing w:after="0"/>
        <w:rPr>
          <w:rFonts w:cstheme="minorHAnsi"/>
          <w:sz w:val="24"/>
          <w:szCs w:val="24"/>
        </w:rPr>
      </w:pPr>
    </w:p>
    <w:p w14:paraId="5B3E18CB" w14:textId="77777777" w:rsidR="00ED417A" w:rsidRPr="00FA3387" w:rsidRDefault="00ED417A" w:rsidP="00ED417A">
      <w:pPr>
        <w:spacing w:after="0"/>
        <w:rPr>
          <w:rFonts w:cstheme="minorHAnsi"/>
          <w:sz w:val="24"/>
          <w:szCs w:val="24"/>
        </w:rPr>
      </w:pPr>
      <w:r w:rsidRPr="00FA3387">
        <w:rPr>
          <w:rFonts w:cstheme="minorHAnsi"/>
          <w:sz w:val="24"/>
          <w:szCs w:val="24"/>
        </w:rPr>
        <w:t xml:space="preserve">Looking at the statistics for pupils who have achieved grade 5 or above in English and Mathematics (which are split by parliamentary constituencies), the national and West of England figures initially seem fairly similar. We use this measure because English and Maths are bundled together in the statistics. </w:t>
      </w:r>
    </w:p>
    <w:p w14:paraId="784A0F91" w14:textId="77777777" w:rsidR="00ED417A" w:rsidRPr="00F42C0D" w:rsidRDefault="00ED417A" w:rsidP="00ED417A">
      <w:pPr>
        <w:spacing w:after="0"/>
        <w:rPr>
          <w:rFonts w:cstheme="minorHAnsi"/>
        </w:rPr>
      </w:pPr>
    </w:p>
    <w:p w14:paraId="4C441620" w14:textId="77777777" w:rsidR="00ED417A" w:rsidRPr="00F42C0D" w:rsidRDefault="00ED417A" w:rsidP="00ED417A">
      <w:pPr>
        <w:spacing w:after="0"/>
        <w:rPr>
          <w:rFonts w:cstheme="minorHAnsi"/>
        </w:rPr>
      </w:pPr>
      <w:r w:rsidRPr="00F42C0D">
        <w:rPr>
          <w:rFonts w:cstheme="minorHAnsi"/>
          <w:noProof/>
        </w:rPr>
        <w:lastRenderedPageBreak/>
        <w:drawing>
          <wp:inline distT="0" distB="0" distL="0" distR="0" wp14:anchorId="3ADA6CA6" wp14:editId="3A7F8D44">
            <wp:extent cx="4572000" cy="2743200"/>
            <wp:effectExtent l="0" t="0" r="0" b="0"/>
            <wp:docPr id="4" name="Chart 4" descr="Graph showing percentage of pupils achieving grades 5 or above in English and Maths at GCSE - 51% national average and 52% in the West of England">
              <a:extLst xmlns:a="http://schemas.openxmlformats.org/drawingml/2006/main">
                <a:ext uri="{FF2B5EF4-FFF2-40B4-BE49-F238E27FC236}">
                  <a16:creationId xmlns:a16="http://schemas.microsoft.com/office/drawing/2014/main" id="{8D7CE0C4-216D-4073-86DC-C9B3DF3F4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3AAD70" w14:textId="77777777" w:rsidR="00FA5CC6" w:rsidRPr="00F42C0D" w:rsidRDefault="00FA5CC6" w:rsidP="00E34350">
      <w:pPr>
        <w:spacing w:after="0"/>
        <w:rPr>
          <w:rFonts w:cstheme="minorHAnsi"/>
          <w:b/>
          <w:bCs/>
        </w:rPr>
      </w:pPr>
    </w:p>
    <w:p w14:paraId="173690F3" w14:textId="03F4750A" w:rsidR="00E34350" w:rsidRPr="00D62315" w:rsidRDefault="00E34350" w:rsidP="00E34350">
      <w:pPr>
        <w:spacing w:after="0"/>
        <w:rPr>
          <w:rFonts w:cstheme="minorHAnsi"/>
          <w:sz w:val="32"/>
          <w:szCs w:val="32"/>
        </w:rPr>
      </w:pPr>
      <w:r w:rsidRPr="00D62315">
        <w:rPr>
          <w:rFonts w:cstheme="minorHAnsi"/>
          <w:b/>
          <w:bCs/>
          <w:sz w:val="32"/>
          <w:szCs w:val="32"/>
        </w:rPr>
        <w:t>Changes in Participation</w:t>
      </w:r>
    </w:p>
    <w:p w14:paraId="23638848" w14:textId="5440D8F7" w:rsidR="00E34350" w:rsidRPr="00FA3387" w:rsidRDefault="00FA013C" w:rsidP="00E34350">
      <w:pPr>
        <w:spacing w:after="0"/>
        <w:rPr>
          <w:rFonts w:cstheme="minorHAnsi"/>
          <w:sz w:val="24"/>
          <w:szCs w:val="24"/>
        </w:rPr>
      </w:pPr>
      <w:r w:rsidRPr="00FA3387">
        <w:rPr>
          <w:rFonts w:cstheme="minorHAnsi"/>
          <w:sz w:val="24"/>
          <w:szCs w:val="24"/>
        </w:rPr>
        <w:t>A key issu</w:t>
      </w:r>
      <w:r w:rsidR="000741B5" w:rsidRPr="00FA3387">
        <w:rPr>
          <w:rFonts w:cstheme="minorHAnsi"/>
          <w:sz w:val="24"/>
          <w:szCs w:val="24"/>
        </w:rPr>
        <w:t xml:space="preserve">e for addressing low levels of </w:t>
      </w:r>
      <w:r w:rsidR="001B71CF" w:rsidRPr="00FA3387">
        <w:rPr>
          <w:rFonts w:cstheme="minorHAnsi"/>
          <w:sz w:val="24"/>
          <w:szCs w:val="24"/>
        </w:rPr>
        <w:t xml:space="preserve">adult </w:t>
      </w:r>
      <w:r w:rsidR="000741B5" w:rsidRPr="00FA3387">
        <w:rPr>
          <w:rFonts w:cstheme="minorHAnsi"/>
          <w:sz w:val="24"/>
          <w:szCs w:val="24"/>
        </w:rPr>
        <w:t>numeracy is</w:t>
      </w:r>
      <w:r w:rsidR="001B71CF" w:rsidRPr="00FA3387">
        <w:rPr>
          <w:rFonts w:cstheme="minorHAnsi"/>
          <w:sz w:val="24"/>
          <w:szCs w:val="24"/>
        </w:rPr>
        <w:t xml:space="preserve"> how many adults are actually participating in </w:t>
      </w:r>
      <w:r w:rsidR="00ED271E" w:rsidRPr="00FA3387">
        <w:rPr>
          <w:rFonts w:cstheme="minorHAnsi"/>
          <w:sz w:val="24"/>
          <w:szCs w:val="24"/>
        </w:rPr>
        <w:t xml:space="preserve">in developing their skills. </w:t>
      </w:r>
      <w:r w:rsidR="00E34350" w:rsidRPr="00FA3387">
        <w:rPr>
          <w:rFonts w:cstheme="minorHAnsi"/>
          <w:sz w:val="24"/>
          <w:szCs w:val="24"/>
        </w:rPr>
        <w:t>The Learning and Work Institute have conducted an analysis of the FE Data Library data (2010-11 to 2018-19) to understand changes in functional skills participation for learners aged 19 and over between 2011 and 2019. For the West of England, the data shows a picture of significant declining participation across all areas of function skills with an even more challenging picture at national level.</w:t>
      </w:r>
      <w:r w:rsidR="00C725E9" w:rsidRPr="00FA3387">
        <w:rPr>
          <w:rFonts w:cstheme="minorHAnsi"/>
          <w:sz w:val="24"/>
          <w:szCs w:val="24"/>
        </w:rPr>
        <w:t xml:space="preserve"> In </w:t>
      </w:r>
      <w:r w:rsidR="002C79FD" w:rsidRPr="00FA3387">
        <w:rPr>
          <w:rFonts w:cstheme="minorHAnsi"/>
          <w:sz w:val="24"/>
          <w:szCs w:val="24"/>
        </w:rPr>
        <w:t>addition,</w:t>
      </w:r>
      <w:r w:rsidR="00C725E9" w:rsidRPr="00FA3387">
        <w:rPr>
          <w:rFonts w:cstheme="minorHAnsi"/>
          <w:sz w:val="24"/>
          <w:szCs w:val="24"/>
        </w:rPr>
        <w:t xml:space="preserve"> we know the Covid-19 pandemic has caused more even challenges</w:t>
      </w:r>
      <w:r w:rsidR="00B02FBB" w:rsidRPr="00FA3387">
        <w:rPr>
          <w:rFonts w:cstheme="minorHAnsi"/>
          <w:sz w:val="24"/>
          <w:szCs w:val="24"/>
        </w:rPr>
        <w:t xml:space="preserve"> for adults to participate in learning.</w:t>
      </w:r>
      <w:r w:rsidR="00C725E9" w:rsidRPr="00FA3387">
        <w:rPr>
          <w:rFonts w:cstheme="minorHAnsi"/>
          <w:sz w:val="24"/>
          <w:szCs w:val="24"/>
        </w:rPr>
        <w:t xml:space="preserve"> </w:t>
      </w:r>
    </w:p>
    <w:p w14:paraId="3C6FE901" w14:textId="77777777" w:rsidR="00E34350" w:rsidRPr="00F42C0D" w:rsidRDefault="00E34350" w:rsidP="00E34350">
      <w:pPr>
        <w:spacing w:after="0"/>
        <w:rPr>
          <w:rFonts w:cstheme="minorHAnsi"/>
        </w:rPr>
      </w:pPr>
    </w:p>
    <w:tbl>
      <w:tblPr>
        <w:tblStyle w:val="TableGrid"/>
        <w:tblW w:w="0" w:type="auto"/>
        <w:tblLook w:val="04A0" w:firstRow="1" w:lastRow="0" w:firstColumn="1" w:lastColumn="0" w:noHBand="0" w:noVBand="1"/>
      </w:tblPr>
      <w:tblGrid>
        <w:gridCol w:w="1129"/>
        <w:gridCol w:w="1701"/>
        <w:gridCol w:w="1985"/>
        <w:gridCol w:w="1984"/>
        <w:gridCol w:w="2217"/>
      </w:tblGrid>
      <w:tr w:rsidR="00E34350" w:rsidRPr="00F42C0D" w14:paraId="0523DC05" w14:textId="77777777" w:rsidTr="00FC03F1">
        <w:tc>
          <w:tcPr>
            <w:tcW w:w="1129" w:type="dxa"/>
          </w:tcPr>
          <w:p w14:paraId="2C4AA3B5" w14:textId="77777777" w:rsidR="00E34350" w:rsidRPr="00F42C0D" w:rsidRDefault="00E34350" w:rsidP="00FC03F1">
            <w:pPr>
              <w:rPr>
                <w:rFonts w:cstheme="minorHAnsi"/>
              </w:rPr>
            </w:pPr>
          </w:p>
        </w:tc>
        <w:tc>
          <w:tcPr>
            <w:tcW w:w="1701" w:type="dxa"/>
          </w:tcPr>
          <w:p w14:paraId="46771026" w14:textId="77777777" w:rsidR="00E34350" w:rsidRPr="00F42C0D" w:rsidRDefault="00E34350" w:rsidP="00FC03F1">
            <w:pPr>
              <w:jc w:val="center"/>
              <w:rPr>
                <w:rFonts w:cstheme="minorHAnsi"/>
              </w:rPr>
            </w:pPr>
            <w:r w:rsidRPr="00F42C0D">
              <w:rPr>
                <w:rFonts w:cstheme="minorHAnsi"/>
              </w:rPr>
              <w:t>2011-19 % Change (English and Maths participation)</w:t>
            </w:r>
          </w:p>
        </w:tc>
        <w:tc>
          <w:tcPr>
            <w:tcW w:w="1985" w:type="dxa"/>
          </w:tcPr>
          <w:p w14:paraId="60B360E3" w14:textId="77777777" w:rsidR="00E34350" w:rsidRPr="00F42C0D" w:rsidRDefault="00E34350" w:rsidP="00FC03F1">
            <w:pPr>
              <w:jc w:val="center"/>
              <w:rPr>
                <w:rFonts w:cstheme="minorHAnsi"/>
              </w:rPr>
            </w:pPr>
            <w:r w:rsidRPr="00F42C0D">
              <w:rPr>
                <w:rFonts w:cstheme="minorHAnsi"/>
              </w:rPr>
              <w:t>2011-19 % Change (English participation)</w:t>
            </w:r>
          </w:p>
        </w:tc>
        <w:tc>
          <w:tcPr>
            <w:tcW w:w="1984" w:type="dxa"/>
          </w:tcPr>
          <w:p w14:paraId="5C98D18F" w14:textId="77777777" w:rsidR="00E34350" w:rsidRPr="00F42C0D" w:rsidRDefault="00E34350" w:rsidP="00FC03F1">
            <w:pPr>
              <w:jc w:val="center"/>
              <w:rPr>
                <w:rFonts w:cstheme="minorHAnsi"/>
              </w:rPr>
            </w:pPr>
            <w:r w:rsidRPr="00F42C0D">
              <w:rPr>
                <w:rFonts w:cstheme="minorHAnsi"/>
              </w:rPr>
              <w:t>2011-19 % Change (Maths participation)</w:t>
            </w:r>
          </w:p>
        </w:tc>
        <w:tc>
          <w:tcPr>
            <w:tcW w:w="2217" w:type="dxa"/>
          </w:tcPr>
          <w:p w14:paraId="6DAC46C5" w14:textId="77777777" w:rsidR="00E34350" w:rsidRPr="00F42C0D" w:rsidRDefault="00E34350" w:rsidP="00FC03F1">
            <w:pPr>
              <w:jc w:val="center"/>
              <w:rPr>
                <w:rFonts w:cstheme="minorHAnsi"/>
              </w:rPr>
            </w:pPr>
            <w:r w:rsidRPr="00F42C0D">
              <w:rPr>
                <w:rFonts w:cstheme="minorHAnsi"/>
              </w:rPr>
              <w:t>2011-19 % Change (ESOL participation)</w:t>
            </w:r>
          </w:p>
        </w:tc>
      </w:tr>
      <w:tr w:rsidR="00E34350" w:rsidRPr="00F42C0D" w14:paraId="2BD97B69" w14:textId="77777777" w:rsidTr="00FC03F1">
        <w:tc>
          <w:tcPr>
            <w:tcW w:w="1129" w:type="dxa"/>
          </w:tcPr>
          <w:p w14:paraId="4BBC6762" w14:textId="77777777" w:rsidR="00E34350" w:rsidRPr="00F42C0D" w:rsidRDefault="00E34350" w:rsidP="00FC03F1">
            <w:pPr>
              <w:rPr>
                <w:rFonts w:cstheme="minorHAnsi"/>
              </w:rPr>
            </w:pPr>
            <w:r w:rsidRPr="00F42C0D">
              <w:rPr>
                <w:rFonts w:cstheme="minorHAnsi"/>
              </w:rPr>
              <w:t>West of England</w:t>
            </w:r>
          </w:p>
        </w:tc>
        <w:tc>
          <w:tcPr>
            <w:tcW w:w="1701" w:type="dxa"/>
          </w:tcPr>
          <w:p w14:paraId="15D703F4" w14:textId="77777777" w:rsidR="00E34350" w:rsidRPr="00F42C0D" w:rsidRDefault="00E34350" w:rsidP="00FC03F1">
            <w:pPr>
              <w:jc w:val="center"/>
              <w:rPr>
                <w:rFonts w:cstheme="minorHAnsi"/>
                <w:b/>
                <w:bCs/>
              </w:rPr>
            </w:pPr>
            <w:r w:rsidRPr="00F42C0D">
              <w:rPr>
                <w:rFonts w:cstheme="minorHAnsi"/>
                <w:b/>
                <w:bCs/>
              </w:rPr>
              <w:t>-35%</w:t>
            </w:r>
          </w:p>
        </w:tc>
        <w:tc>
          <w:tcPr>
            <w:tcW w:w="1985" w:type="dxa"/>
          </w:tcPr>
          <w:p w14:paraId="74BF69F3" w14:textId="77777777" w:rsidR="00E34350" w:rsidRPr="00F42C0D" w:rsidRDefault="00E34350" w:rsidP="00FC03F1">
            <w:pPr>
              <w:jc w:val="center"/>
              <w:rPr>
                <w:rFonts w:cstheme="minorHAnsi"/>
                <w:b/>
                <w:bCs/>
              </w:rPr>
            </w:pPr>
            <w:r w:rsidRPr="00F42C0D">
              <w:rPr>
                <w:rFonts w:cstheme="minorHAnsi"/>
                <w:b/>
                <w:bCs/>
              </w:rPr>
              <w:t>-43%</w:t>
            </w:r>
          </w:p>
        </w:tc>
        <w:tc>
          <w:tcPr>
            <w:tcW w:w="1984" w:type="dxa"/>
          </w:tcPr>
          <w:p w14:paraId="6E5085F6" w14:textId="77777777" w:rsidR="00E34350" w:rsidRPr="00F42C0D" w:rsidRDefault="00E34350" w:rsidP="00FC03F1">
            <w:pPr>
              <w:jc w:val="center"/>
              <w:rPr>
                <w:rFonts w:cstheme="minorHAnsi"/>
                <w:b/>
                <w:bCs/>
              </w:rPr>
            </w:pPr>
            <w:r w:rsidRPr="00F42C0D">
              <w:rPr>
                <w:rFonts w:cstheme="minorHAnsi"/>
                <w:b/>
                <w:bCs/>
              </w:rPr>
              <w:t>-39%</w:t>
            </w:r>
          </w:p>
        </w:tc>
        <w:tc>
          <w:tcPr>
            <w:tcW w:w="2217" w:type="dxa"/>
          </w:tcPr>
          <w:p w14:paraId="223023C8" w14:textId="77777777" w:rsidR="00E34350" w:rsidRPr="00F42C0D" w:rsidRDefault="00E34350" w:rsidP="00FC03F1">
            <w:pPr>
              <w:jc w:val="center"/>
              <w:rPr>
                <w:rFonts w:cstheme="minorHAnsi"/>
                <w:b/>
                <w:bCs/>
              </w:rPr>
            </w:pPr>
            <w:r w:rsidRPr="00F42C0D">
              <w:rPr>
                <w:rFonts w:cstheme="minorHAnsi"/>
                <w:b/>
                <w:bCs/>
              </w:rPr>
              <w:t>-22%</w:t>
            </w:r>
          </w:p>
        </w:tc>
      </w:tr>
      <w:tr w:rsidR="00E34350" w:rsidRPr="00F42C0D" w14:paraId="73869425" w14:textId="77777777" w:rsidTr="00FC03F1">
        <w:tc>
          <w:tcPr>
            <w:tcW w:w="1129" w:type="dxa"/>
          </w:tcPr>
          <w:p w14:paraId="5160371F" w14:textId="77777777" w:rsidR="00E34350" w:rsidRPr="00F42C0D" w:rsidRDefault="00E34350" w:rsidP="00FC03F1">
            <w:pPr>
              <w:rPr>
                <w:rFonts w:cstheme="minorHAnsi"/>
              </w:rPr>
            </w:pPr>
            <w:r w:rsidRPr="00F42C0D">
              <w:rPr>
                <w:rFonts w:cstheme="minorHAnsi"/>
              </w:rPr>
              <w:t>England</w:t>
            </w:r>
          </w:p>
        </w:tc>
        <w:tc>
          <w:tcPr>
            <w:tcW w:w="1701" w:type="dxa"/>
          </w:tcPr>
          <w:p w14:paraId="732F8124" w14:textId="77777777" w:rsidR="00E34350" w:rsidRPr="00F42C0D" w:rsidRDefault="00E34350" w:rsidP="00FC03F1">
            <w:pPr>
              <w:jc w:val="center"/>
              <w:rPr>
                <w:rFonts w:cstheme="minorHAnsi"/>
                <w:b/>
                <w:bCs/>
              </w:rPr>
            </w:pPr>
            <w:r w:rsidRPr="00F42C0D">
              <w:rPr>
                <w:rFonts w:cstheme="minorHAnsi"/>
                <w:b/>
                <w:bCs/>
              </w:rPr>
              <w:t>-40%</w:t>
            </w:r>
          </w:p>
        </w:tc>
        <w:tc>
          <w:tcPr>
            <w:tcW w:w="1985" w:type="dxa"/>
          </w:tcPr>
          <w:p w14:paraId="007A3CF7" w14:textId="77777777" w:rsidR="00E34350" w:rsidRPr="00F42C0D" w:rsidRDefault="00E34350" w:rsidP="00FC03F1">
            <w:pPr>
              <w:jc w:val="center"/>
              <w:rPr>
                <w:rFonts w:cstheme="minorHAnsi"/>
                <w:b/>
                <w:bCs/>
              </w:rPr>
            </w:pPr>
            <w:r w:rsidRPr="00F42C0D">
              <w:rPr>
                <w:rFonts w:cstheme="minorHAnsi"/>
                <w:b/>
                <w:bCs/>
              </w:rPr>
              <w:t>-43%</w:t>
            </w:r>
          </w:p>
        </w:tc>
        <w:tc>
          <w:tcPr>
            <w:tcW w:w="1984" w:type="dxa"/>
          </w:tcPr>
          <w:p w14:paraId="6C817F02" w14:textId="77777777" w:rsidR="00E34350" w:rsidRPr="00F42C0D" w:rsidRDefault="00E34350" w:rsidP="00FC03F1">
            <w:pPr>
              <w:jc w:val="center"/>
              <w:rPr>
                <w:rFonts w:cstheme="minorHAnsi"/>
                <w:b/>
                <w:bCs/>
              </w:rPr>
            </w:pPr>
            <w:r w:rsidRPr="00F42C0D">
              <w:rPr>
                <w:rFonts w:cstheme="minorHAnsi"/>
                <w:b/>
                <w:bCs/>
              </w:rPr>
              <w:t>-42%</w:t>
            </w:r>
          </w:p>
        </w:tc>
        <w:tc>
          <w:tcPr>
            <w:tcW w:w="2217" w:type="dxa"/>
          </w:tcPr>
          <w:p w14:paraId="3EF2612B" w14:textId="77777777" w:rsidR="00E34350" w:rsidRPr="00F42C0D" w:rsidRDefault="00E34350" w:rsidP="00FC03F1">
            <w:pPr>
              <w:jc w:val="center"/>
              <w:rPr>
                <w:rFonts w:cstheme="minorHAnsi"/>
                <w:b/>
                <w:bCs/>
              </w:rPr>
            </w:pPr>
            <w:r w:rsidRPr="00F42C0D">
              <w:rPr>
                <w:rFonts w:cstheme="minorHAnsi"/>
                <w:b/>
                <w:bCs/>
              </w:rPr>
              <w:t>-25%</w:t>
            </w:r>
          </w:p>
        </w:tc>
      </w:tr>
    </w:tbl>
    <w:p w14:paraId="2EBFE5DA" w14:textId="77777777" w:rsidR="008725D1" w:rsidRPr="00F42C0D" w:rsidRDefault="008725D1" w:rsidP="00105FA8">
      <w:pPr>
        <w:spacing w:after="0"/>
        <w:rPr>
          <w:rFonts w:cstheme="minorHAnsi"/>
        </w:rPr>
      </w:pPr>
    </w:p>
    <w:p w14:paraId="0E3ACAD6" w14:textId="77777777" w:rsidR="00B35B7D" w:rsidRPr="00FA3387" w:rsidRDefault="00B35B7D" w:rsidP="00B35B7D">
      <w:pPr>
        <w:spacing w:after="0"/>
        <w:rPr>
          <w:rFonts w:cstheme="minorHAnsi"/>
          <w:b/>
          <w:bCs/>
          <w:sz w:val="32"/>
          <w:szCs w:val="32"/>
        </w:rPr>
      </w:pPr>
      <w:r w:rsidRPr="00FA3387">
        <w:rPr>
          <w:rFonts w:cstheme="minorHAnsi"/>
          <w:b/>
          <w:bCs/>
          <w:sz w:val="32"/>
          <w:szCs w:val="32"/>
        </w:rPr>
        <w:t>Skills for Life Survey</w:t>
      </w:r>
    </w:p>
    <w:p w14:paraId="00841D2F" w14:textId="77777777" w:rsidR="00B35B7D" w:rsidRPr="00FA3387" w:rsidRDefault="00B35B7D" w:rsidP="00B35B7D">
      <w:pPr>
        <w:pStyle w:val="paragraph"/>
        <w:spacing w:before="0" w:beforeAutospacing="0" w:after="0" w:afterAutospacing="0"/>
        <w:textAlignment w:val="baseline"/>
        <w:rPr>
          <w:rFonts w:asciiTheme="minorHAnsi" w:hAnsiTheme="minorHAnsi" w:cstheme="minorHAnsi"/>
        </w:rPr>
      </w:pPr>
      <w:r w:rsidRPr="00FA3387">
        <w:rPr>
          <w:rStyle w:val="normaltextrun"/>
          <w:rFonts w:asciiTheme="minorHAnsi" w:hAnsiTheme="minorHAnsi" w:cstheme="minorHAnsi"/>
          <w:color w:val="000000"/>
          <w:shd w:val="clear" w:color="auto" w:fill="FFFFFF"/>
        </w:rPr>
        <w:t>The “</w:t>
      </w:r>
      <w:hyperlink r:id="rId15" w:tgtFrame="_blank" w:history="1">
        <w:r w:rsidRPr="00FA3387">
          <w:rPr>
            <w:rStyle w:val="normaltextrun"/>
            <w:rFonts w:asciiTheme="minorHAnsi" w:hAnsiTheme="minorHAnsi" w:cstheme="minorHAnsi"/>
            <w:color w:val="0563C1"/>
            <w:shd w:val="clear" w:color="auto" w:fill="FFFFFF"/>
          </w:rPr>
          <w:t>2011 Skills for Life Survey: A Survey of Literacy, Numeracy and ICT Levels in England</w:t>
        </w:r>
      </w:hyperlink>
      <w:r w:rsidRPr="00FA3387">
        <w:rPr>
          <w:rStyle w:val="normaltextrun"/>
          <w:rFonts w:asciiTheme="minorHAnsi" w:hAnsiTheme="minorHAnsi" w:cstheme="minorHAnsi"/>
          <w:color w:val="000000"/>
          <w:shd w:val="clear" w:color="auto" w:fill="FFFFFF"/>
        </w:rPr>
        <w:t>” i</w:t>
      </w:r>
      <w:r w:rsidRPr="00FA3387">
        <w:rPr>
          <w:rStyle w:val="normaltextrun"/>
          <w:rFonts w:asciiTheme="minorHAnsi" w:hAnsiTheme="minorHAnsi" w:cstheme="minorHAnsi"/>
        </w:rPr>
        <w:t>ncludes regional statistics and correlations between the results and factors such as deprivation and English as a first language. </w:t>
      </w:r>
      <w:r w:rsidRPr="00FA3387">
        <w:rPr>
          <w:rStyle w:val="eop"/>
          <w:rFonts w:asciiTheme="minorHAnsi" w:hAnsiTheme="minorHAnsi" w:cstheme="minorHAnsi"/>
        </w:rPr>
        <w:t> </w:t>
      </w:r>
    </w:p>
    <w:p w14:paraId="67603258" w14:textId="77777777" w:rsidR="00B35B7D" w:rsidRPr="00FA3387" w:rsidRDefault="00B35B7D" w:rsidP="00B35B7D">
      <w:pPr>
        <w:pStyle w:val="paragraph"/>
        <w:numPr>
          <w:ilvl w:val="0"/>
          <w:numId w:val="8"/>
        </w:numPr>
        <w:spacing w:before="0" w:beforeAutospacing="0" w:after="0" w:afterAutospacing="0"/>
        <w:textAlignment w:val="baseline"/>
        <w:rPr>
          <w:rFonts w:asciiTheme="minorHAnsi" w:hAnsiTheme="minorHAnsi" w:cstheme="minorHAnsi"/>
        </w:rPr>
      </w:pPr>
      <w:r w:rsidRPr="00FA3387">
        <w:rPr>
          <w:rStyle w:val="normaltextrun"/>
          <w:rFonts w:asciiTheme="minorHAnsi" w:hAnsiTheme="minorHAnsi" w:cstheme="minorHAnsi"/>
        </w:rPr>
        <w:t xml:space="preserve">At </w:t>
      </w:r>
      <w:r w:rsidRPr="00FA3387">
        <w:rPr>
          <w:rStyle w:val="normaltextrun"/>
          <w:rFonts w:asciiTheme="minorHAnsi" w:hAnsiTheme="minorHAnsi" w:cstheme="minorHAnsi"/>
          <w:b/>
          <w:bCs/>
        </w:rPr>
        <w:t>83%</w:t>
      </w:r>
      <w:r w:rsidRPr="00FA3387">
        <w:rPr>
          <w:rStyle w:val="normaltextrun"/>
          <w:rFonts w:asciiTheme="minorHAnsi" w:hAnsiTheme="minorHAnsi" w:cstheme="minorHAnsi"/>
        </w:rPr>
        <w:t xml:space="preserve"> the </w:t>
      </w:r>
      <w:proofErr w:type="gramStart"/>
      <w:r w:rsidRPr="00FA3387">
        <w:rPr>
          <w:rStyle w:val="normaltextrun"/>
          <w:rFonts w:asciiTheme="minorHAnsi" w:hAnsiTheme="minorHAnsi" w:cstheme="minorHAnsi"/>
        </w:rPr>
        <w:t>South West</w:t>
      </w:r>
      <w:proofErr w:type="gramEnd"/>
      <w:r w:rsidRPr="00FA3387">
        <w:rPr>
          <w:rStyle w:val="normaltextrun"/>
          <w:rFonts w:asciiTheme="minorHAnsi" w:hAnsiTheme="minorHAnsi" w:cstheme="minorHAnsi"/>
        </w:rPr>
        <w:t xml:space="preserve"> has the highest level of individuals aged 16-65 who have numeracy skills levels at Entry Level 3 or above and the lowest with those at Entry 2 Level or below.</w:t>
      </w:r>
      <w:r w:rsidRPr="00FA3387">
        <w:rPr>
          <w:rStyle w:val="eop"/>
          <w:rFonts w:asciiTheme="minorHAnsi" w:hAnsiTheme="minorHAnsi" w:cstheme="minorHAnsi"/>
        </w:rPr>
        <w:t> </w:t>
      </w:r>
    </w:p>
    <w:p w14:paraId="7078427E" w14:textId="77777777" w:rsidR="00B35B7D" w:rsidRPr="00FA3387" w:rsidRDefault="00B35B7D" w:rsidP="00B35B7D">
      <w:pPr>
        <w:pStyle w:val="paragraph"/>
        <w:numPr>
          <w:ilvl w:val="0"/>
          <w:numId w:val="8"/>
        </w:numPr>
        <w:spacing w:before="0" w:beforeAutospacing="0" w:after="0" w:afterAutospacing="0"/>
        <w:textAlignment w:val="baseline"/>
        <w:rPr>
          <w:rFonts w:asciiTheme="minorHAnsi" w:hAnsiTheme="minorHAnsi" w:cstheme="minorHAnsi"/>
        </w:rPr>
      </w:pPr>
      <w:r w:rsidRPr="00FA3387">
        <w:rPr>
          <w:rStyle w:val="normaltextrun"/>
          <w:rFonts w:asciiTheme="minorHAnsi" w:hAnsiTheme="minorHAnsi" w:cstheme="minorHAnsi"/>
        </w:rPr>
        <w:t>Numeracy (and literacy and ICT skills) correlate directly with many of the expected factors:</w:t>
      </w:r>
      <w:r w:rsidRPr="00FA3387">
        <w:rPr>
          <w:rStyle w:val="eop"/>
          <w:rFonts w:asciiTheme="minorHAnsi" w:hAnsiTheme="minorHAnsi" w:cstheme="minorHAnsi"/>
        </w:rPr>
        <w:t> </w:t>
      </w:r>
    </w:p>
    <w:p w14:paraId="509BCFFD" w14:textId="77777777" w:rsidR="00B35B7D" w:rsidRPr="00FA3387" w:rsidRDefault="00B35B7D" w:rsidP="00B35B7D">
      <w:pPr>
        <w:pStyle w:val="paragraph"/>
        <w:numPr>
          <w:ilvl w:val="1"/>
          <w:numId w:val="8"/>
        </w:numPr>
        <w:spacing w:before="0" w:beforeAutospacing="0" w:after="0" w:afterAutospacing="0"/>
        <w:textAlignment w:val="baseline"/>
        <w:rPr>
          <w:rFonts w:asciiTheme="minorHAnsi" w:hAnsiTheme="minorHAnsi" w:cstheme="minorHAnsi"/>
        </w:rPr>
      </w:pPr>
      <w:r w:rsidRPr="00FA3387">
        <w:rPr>
          <w:rStyle w:val="normaltextrun"/>
          <w:rFonts w:asciiTheme="minorHAnsi" w:hAnsiTheme="minorHAnsi" w:cstheme="minorHAnsi"/>
        </w:rPr>
        <w:t>Increase in gross earnings</w:t>
      </w:r>
      <w:r w:rsidRPr="00FA3387">
        <w:rPr>
          <w:rStyle w:val="eop"/>
          <w:rFonts w:asciiTheme="minorHAnsi" w:hAnsiTheme="minorHAnsi" w:cstheme="minorHAnsi"/>
        </w:rPr>
        <w:t> </w:t>
      </w:r>
    </w:p>
    <w:p w14:paraId="0486EC43" w14:textId="77777777" w:rsidR="00B35B7D" w:rsidRPr="00FA3387" w:rsidRDefault="00B35B7D" w:rsidP="00B35B7D">
      <w:pPr>
        <w:pStyle w:val="paragraph"/>
        <w:numPr>
          <w:ilvl w:val="1"/>
          <w:numId w:val="8"/>
        </w:numPr>
        <w:spacing w:before="0" w:beforeAutospacing="0" w:after="0" w:afterAutospacing="0"/>
        <w:textAlignment w:val="baseline"/>
        <w:rPr>
          <w:rFonts w:asciiTheme="minorHAnsi" w:hAnsiTheme="minorHAnsi" w:cstheme="minorHAnsi"/>
        </w:rPr>
      </w:pPr>
      <w:r w:rsidRPr="00FA3387">
        <w:rPr>
          <w:rStyle w:val="normaltextrun"/>
          <w:rFonts w:asciiTheme="minorHAnsi" w:hAnsiTheme="minorHAnsi" w:cstheme="minorHAnsi"/>
        </w:rPr>
        <w:t>Decrease in indices of multiple deprivation</w:t>
      </w:r>
      <w:r w:rsidRPr="00FA3387">
        <w:rPr>
          <w:rStyle w:val="eop"/>
          <w:rFonts w:asciiTheme="minorHAnsi" w:hAnsiTheme="minorHAnsi" w:cstheme="minorHAnsi"/>
        </w:rPr>
        <w:t> </w:t>
      </w:r>
    </w:p>
    <w:p w14:paraId="47228787" w14:textId="77777777" w:rsidR="00B35B7D" w:rsidRPr="00FA3387" w:rsidRDefault="00B35B7D" w:rsidP="00B35B7D">
      <w:pPr>
        <w:pStyle w:val="paragraph"/>
        <w:numPr>
          <w:ilvl w:val="1"/>
          <w:numId w:val="8"/>
        </w:numPr>
        <w:spacing w:before="0" w:beforeAutospacing="0" w:after="0" w:afterAutospacing="0"/>
        <w:textAlignment w:val="baseline"/>
        <w:rPr>
          <w:rFonts w:asciiTheme="minorHAnsi" w:hAnsiTheme="minorHAnsi" w:cstheme="minorHAnsi"/>
        </w:rPr>
      </w:pPr>
      <w:r w:rsidRPr="00FA3387">
        <w:rPr>
          <w:rStyle w:val="normaltextrun"/>
          <w:rFonts w:asciiTheme="minorHAnsi" w:hAnsiTheme="minorHAnsi" w:cstheme="minorHAnsi"/>
        </w:rPr>
        <w:t>Increase in familiarity with English</w:t>
      </w:r>
      <w:r w:rsidRPr="00FA3387">
        <w:rPr>
          <w:rStyle w:val="eop"/>
          <w:rFonts w:asciiTheme="minorHAnsi" w:hAnsiTheme="minorHAnsi" w:cstheme="minorHAnsi"/>
        </w:rPr>
        <w:t> </w:t>
      </w:r>
    </w:p>
    <w:p w14:paraId="12B620EF" w14:textId="77777777" w:rsidR="00B35B7D" w:rsidRPr="00FA3387" w:rsidRDefault="00B35B7D" w:rsidP="00B35B7D">
      <w:pPr>
        <w:pStyle w:val="paragraph"/>
        <w:numPr>
          <w:ilvl w:val="0"/>
          <w:numId w:val="8"/>
        </w:numPr>
        <w:spacing w:before="0" w:beforeAutospacing="0" w:after="0" w:afterAutospacing="0"/>
        <w:textAlignment w:val="baseline"/>
        <w:rPr>
          <w:rFonts w:asciiTheme="minorHAnsi" w:hAnsiTheme="minorHAnsi" w:cstheme="minorHAnsi"/>
        </w:rPr>
      </w:pPr>
      <w:r w:rsidRPr="00FA3387">
        <w:rPr>
          <w:rStyle w:val="normaltextrun"/>
          <w:rFonts w:asciiTheme="minorHAnsi" w:hAnsiTheme="minorHAnsi" w:cstheme="minorHAnsi"/>
        </w:rPr>
        <w:lastRenderedPageBreak/>
        <w:t>Older respondents are less likely to have a high standard of numeracy</w:t>
      </w:r>
      <w:r w:rsidRPr="00FA3387">
        <w:rPr>
          <w:rStyle w:val="eop"/>
          <w:rFonts w:asciiTheme="minorHAnsi" w:hAnsiTheme="minorHAnsi" w:cstheme="minorHAnsi"/>
        </w:rPr>
        <w:t> </w:t>
      </w:r>
    </w:p>
    <w:p w14:paraId="701A30F6" w14:textId="77777777" w:rsidR="00B35B7D" w:rsidRPr="00FA3387" w:rsidRDefault="00B35B7D" w:rsidP="00B35B7D">
      <w:pPr>
        <w:pStyle w:val="paragraph"/>
        <w:numPr>
          <w:ilvl w:val="0"/>
          <w:numId w:val="8"/>
        </w:numPr>
        <w:spacing w:before="0" w:beforeAutospacing="0" w:after="0" w:afterAutospacing="0"/>
        <w:textAlignment w:val="baseline"/>
        <w:rPr>
          <w:rStyle w:val="eop"/>
          <w:rFonts w:asciiTheme="minorHAnsi" w:hAnsiTheme="minorHAnsi" w:cstheme="minorHAnsi"/>
        </w:rPr>
      </w:pPr>
      <w:r w:rsidRPr="00FA3387">
        <w:rPr>
          <w:rStyle w:val="normaltextrun"/>
          <w:rFonts w:asciiTheme="minorHAnsi" w:hAnsiTheme="minorHAnsi" w:cstheme="minorHAnsi"/>
        </w:rPr>
        <w:t>Residents who are renting from the local authority or renting in general are much more likely to have poor levels of numeracy. </w:t>
      </w:r>
      <w:r w:rsidRPr="00FA3387">
        <w:rPr>
          <w:rStyle w:val="eop"/>
          <w:rFonts w:asciiTheme="minorHAnsi" w:hAnsiTheme="minorHAnsi" w:cstheme="minorHAnsi"/>
        </w:rPr>
        <w:t> </w:t>
      </w:r>
    </w:p>
    <w:p w14:paraId="37D539CA" w14:textId="77777777" w:rsidR="00B35B7D" w:rsidRPr="00FA3387" w:rsidRDefault="00B35B7D" w:rsidP="00B35B7D">
      <w:pPr>
        <w:spacing w:after="0" w:line="240" w:lineRule="auto"/>
        <w:textAlignment w:val="baseline"/>
        <w:rPr>
          <w:rFonts w:eastAsia="Times New Roman" w:cstheme="minorHAnsi"/>
          <w:sz w:val="24"/>
          <w:szCs w:val="24"/>
          <w:lang w:eastAsia="en-GB"/>
        </w:rPr>
      </w:pPr>
    </w:p>
    <w:p w14:paraId="0A16CDEE" w14:textId="77777777" w:rsidR="00B35B7D" w:rsidRPr="00FA3387" w:rsidRDefault="00B35B7D" w:rsidP="00B35B7D">
      <w:pPr>
        <w:spacing w:after="0" w:line="240" w:lineRule="auto"/>
        <w:textAlignment w:val="baseline"/>
        <w:rPr>
          <w:rFonts w:eastAsia="Times New Roman" w:cstheme="minorHAnsi"/>
          <w:sz w:val="24"/>
          <w:szCs w:val="24"/>
          <w:lang w:eastAsia="en-GB"/>
        </w:rPr>
      </w:pPr>
      <w:r w:rsidRPr="00FA3387">
        <w:rPr>
          <w:rFonts w:eastAsia="Times New Roman" w:cstheme="minorHAnsi"/>
          <w:sz w:val="24"/>
          <w:szCs w:val="24"/>
          <w:lang w:eastAsia="en-GB"/>
        </w:rPr>
        <w:t>The link between literacy and numeracy shows that those individuals (aged 16-64) with low levels of numeracy are also more likely to experience low levels of literacy:</w:t>
      </w:r>
    </w:p>
    <w:p w14:paraId="27E6EB3E" w14:textId="77777777" w:rsidR="00B35B7D" w:rsidRPr="00F42C0D" w:rsidRDefault="00B35B7D" w:rsidP="00B35B7D">
      <w:pPr>
        <w:spacing w:after="0" w:line="240" w:lineRule="auto"/>
        <w:textAlignment w:val="baseline"/>
        <w:rPr>
          <w:rFonts w:eastAsia="Times New Roman" w:cstheme="minorHAnsi"/>
          <w:lang w:eastAsia="en-GB"/>
        </w:rPr>
      </w:pPr>
    </w:p>
    <w:p w14:paraId="60DB83CF" w14:textId="77777777" w:rsidR="00B35B7D" w:rsidRPr="00F42C0D" w:rsidRDefault="00B35B7D" w:rsidP="00B35B7D">
      <w:pPr>
        <w:spacing w:after="0" w:line="240" w:lineRule="auto"/>
        <w:textAlignment w:val="baseline"/>
        <w:rPr>
          <w:rFonts w:eastAsia="Times New Roman" w:cstheme="minorHAnsi"/>
          <w:lang w:eastAsia="en-GB"/>
        </w:rPr>
      </w:pPr>
      <w:r w:rsidRPr="00F42C0D">
        <w:rPr>
          <w:rFonts w:eastAsia="Times New Roman" w:cstheme="minorHAnsi"/>
          <w:noProof/>
          <w:lang w:eastAsia="en-GB"/>
        </w:rPr>
        <w:drawing>
          <wp:inline distT="0" distB="0" distL="0" distR="0" wp14:anchorId="0103F6CC" wp14:editId="3D033BFE">
            <wp:extent cx="5731510" cy="2352675"/>
            <wp:effectExtent l="0" t="0" r="2540" b="9525"/>
            <wp:docPr id="8" name="Picture 8" descr="Numeracy level by literacy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umeracy level by literacy level "/>
                    <pic:cNvPicPr/>
                  </pic:nvPicPr>
                  <pic:blipFill>
                    <a:blip r:embed="rId16"/>
                    <a:stretch>
                      <a:fillRect/>
                    </a:stretch>
                  </pic:blipFill>
                  <pic:spPr>
                    <a:xfrm>
                      <a:off x="0" y="0"/>
                      <a:ext cx="5731510" cy="2352675"/>
                    </a:xfrm>
                    <a:prstGeom prst="rect">
                      <a:avLst/>
                    </a:prstGeom>
                  </pic:spPr>
                </pic:pic>
              </a:graphicData>
            </a:graphic>
          </wp:inline>
        </w:drawing>
      </w:r>
    </w:p>
    <w:p w14:paraId="7AFE70D0" w14:textId="77777777" w:rsidR="00B35B7D" w:rsidRPr="00F42C0D" w:rsidRDefault="00B35B7D" w:rsidP="00105FA8">
      <w:pPr>
        <w:spacing w:after="0"/>
        <w:rPr>
          <w:rFonts w:cstheme="minorHAnsi"/>
        </w:rPr>
      </w:pPr>
    </w:p>
    <w:p w14:paraId="0D9987B7" w14:textId="77777777" w:rsidR="00F42C0D" w:rsidRPr="00F42C0D" w:rsidRDefault="00F42C0D" w:rsidP="00F42C0D">
      <w:pPr>
        <w:spacing w:after="0"/>
        <w:rPr>
          <w:rFonts w:cstheme="minorHAnsi"/>
          <w:b/>
          <w:bCs/>
        </w:rPr>
      </w:pPr>
    </w:p>
    <w:p w14:paraId="2770BFAA" w14:textId="676AF72E" w:rsidR="00F42C0D" w:rsidRPr="00D62315" w:rsidRDefault="00F42C0D" w:rsidP="00F42C0D">
      <w:pPr>
        <w:spacing w:after="0"/>
        <w:rPr>
          <w:rFonts w:cstheme="minorHAnsi"/>
          <w:b/>
          <w:bCs/>
          <w:sz w:val="32"/>
          <w:szCs w:val="32"/>
        </w:rPr>
      </w:pPr>
      <w:r w:rsidRPr="00D62315">
        <w:rPr>
          <w:rFonts w:cstheme="minorHAnsi"/>
          <w:b/>
          <w:bCs/>
          <w:sz w:val="32"/>
          <w:szCs w:val="32"/>
        </w:rPr>
        <w:t>Numeracy by Employment Sector</w:t>
      </w:r>
    </w:p>
    <w:p w14:paraId="2B75AF8E" w14:textId="1FA27B5C" w:rsidR="00F42C0D" w:rsidRDefault="00F42C0D" w:rsidP="00F42C0D">
      <w:pPr>
        <w:spacing w:after="0"/>
        <w:rPr>
          <w:rFonts w:cstheme="minorHAnsi"/>
          <w:sz w:val="24"/>
          <w:szCs w:val="24"/>
        </w:rPr>
      </w:pPr>
      <w:r w:rsidRPr="00FA3387">
        <w:rPr>
          <w:rFonts w:cstheme="minorHAnsi"/>
          <w:sz w:val="24"/>
          <w:szCs w:val="24"/>
        </w:rPr>
        <w:t xml:space="preserve">National Numeracy produced a report entitled </w:t>
      </w:r>
      <w:hyperlink r:id="rId17" w:history="1">
        <w:r w:rsidRPr="00FA3387">
          <w:rPr>
            <w:rStyle w:val="Hyperlink"/>
            <w:rFonts w:cstheme="minorHAnsi"/>
            <w:sz w:val="24"/>
            <w:szCs w:val="24"/>
          </w:rPr>
          <w:t>Counting on the Recovery</w:t>
        </w:r>
      </w:hyperlink>
      <w:r w:rsidRPr="00FA3387">
        <w:rPr>
          <w:rFonts w:cstheme="minorHAnsi"/>
          <w:sz w:val="24"/>
          <w:szCs w:val="24"/>
        </w:rPr>
        <w:t xml:space="preserve"> (April 2021) detailing different levels of numeracy across regions in the UK and across different employment sectors. The overall picture in the UK shows that </w:t>
      </w:r>
      <w:r w:rsidRPr="00FA3387">
        <w:rPr>
          <w:rFonts w:cstheme="minorHAnsi"/>
          <w:b/>
          <w:bCs/>
          <w:sz w:val="24"/>
          <w:szCs w:val="24"/>
        </w:rPr>
        <w:t>57%</w:t>
      </w:r>
      <w:r w:rsidRPr="00FA3387">
        <w:rPr>
          <w:rFonts w:cstheme="minorHAnsi"/>
          <w:sz w:val="24"/>
          <w:szCs w:val="24"/>
        </w:rPr>
        <w:t xml:space="preserve"> of the population having poor levels of numeracy (</w:t>
      </w:r>
      <w:proofErr w:type="gramStart"/>
      <w:r w:rsidRPr="00FA3387">
        <w:rPr>
          <w:rFonts w:cstheme="minorHAnsi"/>
          <w:sz w:val="24"/>
          <w:szCs w:val="24"/>
        </w:rPr>
        <w:t>i.e.</w:t>
      </w:r>
      <w:proofErr w:type="gramEnd"/>
      <w:r w:rsidRPr="00FA3387">
        <w:rPr>
          <w:rFonts w:cstheme="minorHAnsi"/>
          <w:sz w:val="24"/>
          <w:szCs w:val="24"/>
        </w:rPr>
        <w:t xml:space="preserve"> OECD Level 2 and below).  Adults with skills at this level may not be able to understand their pay slips, work out discounts such as 10% or 50% off and convert bills from monthly to quarterly or annual amounts. More detailed comparisons between numeracy levels are available at </w:t>
      </w:r>
      <w:hyperlink r:id="rId18" w:history="1">
        <w:r w:rsidRPr="00FA3387">
          <w:rPr>
            <w:rStyle w:val="Hyperlink"/>
            <w:rFonts w:cstheme="minorHAnsi"/>
            <w:sz w:val="24"/>
            <w:szCs w:val="24"/>
          </w:rPr>
          <w:t>this link</w:t>
        </w:r>
      </w:hyperlink>
      <w:r w:rsidRPr="00FA3387">
        <w:rPr>
          <w:rFonts w:cstheme="minorHAnsi"/>
          <w:sz w:val="24"/>
          <w:szCs w:val="24"/>
        </w:rPr>
        <w:t xml:space="preserve">. Though the National Numeracy report works at regional level (i.e., </w:t>
      </w:r>
      <w:proofErr w:type="gramStart"/>
      <w:r w:rsidRPr="00FA3387">
        <w:rPr>
          <w:rFonts w:cstheme="minorHAnsi"/>
          <w:sz w:val="24"/>
          <w:szCs w:val="24"/>
        </w:rPr>
        <w:t>South West</w:t>
      </w:r>
      <w:proofErr w:type="gramEnd"/>
      <w:r w:rsidRPr="00FA3387">
        <w:rPr>
          <w:rFonts w:cstheme="minorHAnsi"/>
          <w:sz w:val="24"/>
          <w:szCs w:val="24"/>
        </w:rPr>
        <w:t xml:space="preserve"> rather than the West of England) we have access to employment by sector information at West of England level.  Therefore, we can estimate numeracy levels in the West of England across different employment sectors:</w:t>
      </w:r>
    </w:p>
    <w:p w14:paraId="376332A4" w14:textId="739A9C96" w:rsidR="00FA3387" w:rsidRDefault="00FA3387" w:rsidP="00F42C0D">
      <w:pPr>
        <w:spacing w:after="0"/>
        <w:rPr>
          <w:rFonts w:cstheme="minorHAnsi"/>
          <w:sz w:val="24"/>
          <w:szCs w:val="24"/>
        </w:rPr>
      </w:pPr>
    </w:p>
    <w:p w14:paraId="0D760C9F" w14:textId="04CEF96C" w:rsidR="00FA3387" w:rsidRDefault="00FA3387" w:rsidP="00F42C0D">
      <w:pPr>
        <w:spacing w:after="0"/>
        <w:rPr>
          <w:rFonts w:cstheme="minorHAnsi"/>
          <w:sz w:val="24"/>
          <w:szCs w:val="24"/>
        </w:rPr>
      </w:pPr>
    </w:p>
    <w:p w14:paraId="1343468E" w14:textId="16F67068" w:rsidR="00FA3387" w:rsidRDefault="00FA3387" w:rsidP="00F42C0D">
      <w:pPr>
        <w:spacing w:after="0"/>
        <w:rPr>
          <w:rFonts w:cstheme="minorHAnsi"/>
          <w:sz w:val="24"/>
          <w:szCs w:val="24"/>
        </w:rPr>
      </w:pPr>
    </w:p>
    <w:p w14:paraId="07430FD0" w14:textId="32C263B9" w:rsidR="00FA3387" w:rsidRDefault="00FA3387" w:rsidP="00F42C0D">
      <w:pPr>
        <w:spacing w:after="0"/>
        <w:rPr>
          <w:rFonts w:cstheme="minorHAnsi"/>
          <w:sz w:val="24"/>
          <w:szCs w:val="24"/>
        </w:rPr>
      </w:pPr>
    </w:p>
    <w:p w14:paraId="66787CC8" w14:textId="3757F6EC" w:rsidR="00FA3387" w:rsidRDefault="00FA3387" w:rsidP="00F42C0D">
      <w:pPr>
        <w:spacing w:after="0"/>
        <w:rPr>
          <w:rFonts w:cstheme="minorHAnsi"/>
          <w:sz w:val="24"/>
          <w:szCs w:val="24"/>
        </w:rPr>
      </w:pPr>
    </w:p>
    <w:p w14:paraId="44A895A6" w14:textId="1281D9F3" w:rsidR="00FA3387" w:rsidRDefault="00FA3387" w:rsidP="00F42C0D">
      <w:pPr>
        <w:spacing w:after="0"/>
        <w:rPr>
          <w:rFonts w:cstheme="minorHAnsi"/>
          <w:sz w:val="24"/>
          <w:szCs w:val="24"/>
        </w:rPr>
      </w:pPr>
    </w:p>
    <w:p w14:paraId="1A92EE2F" w14:textId="11C84FAD" w:rsidR="00FA3387" w:rsidRDefault="00FA3387" w:rsidP="00F42C0D">
      <w:pPr>
        <w:spacing w:after="0"/>
        <w:rPr>
          <w:rFonts w:cstheme="minorHAnsi"/>
          <w:sz w:val="24"/>
          <w:szCs w:val="24"/>
        </w:rPr>
      </w:pPr>
    </w:p>
    <w:p w14:paraId="4CA56814" w14:textId="0096A501" w:rsidR="00FA3387" w:rsidRDefault="00FA3387" w:rsidP="00F42C0D">
      <w:pPr>
        <w:spacing w:after="0"/>
        <w:rPr>
          <w:rFonts w:cstheme="minorHAnsi"/>
          <w:sz w:val="24"/>
          <w:szCs w:val="24"/>
        </w:rPr>
      </w:pPr>
    </w:p>
    <w:p w14:paraId="2E44D3C2" w14:textId="217C7C64" w:rsidR="00FA3387" w:rsidRDefault="00FA3387" w:rsidP="00F42C0D">
      <w:pPr>
        <w:spacing w:after="0"/>
        <w:rPr>
          <w:rFonts w:cstheme="minorHAnsi"/>
          <w:sz w:val="24"/>
          <w:szCs w:val="24"/>
        </w:rPr>
      </w:pPr>
    </w:p>
    <w:p w14:paraId="3FBCCF2C" w14:textId="4964AE14" w:rsidR="00FA3387" w:rsidRDefault="00FA3387" w:rsidP="00F42C0D">
      <w:pPr>
        <w:spacing w:after="0"/>
        <w:rPr>
          <w:rFonts w:cstheme="minorHAnsi"/>
          <w:sz w:val="24"/>
          <w:szCs w:val="24"/>
        </w:rPr>
      </w:pPr>
    </w:p>
    <w:p w14:paraId="36770464" w14:textId="0EF042FA" w:rsidR="00FA3387" w:rsidRDefault="00FA3387" w:rsidP="00F42C0D">
      <w:pPr>
        <w:spacing w:after="0"/>
        <w:rPr>
          <w:rFonts w:cstheme="minorHAnsi"/>
          <w:sz w:val="24"/>
          <w:szCs w:val="24"/>
        </w:rPr>
      </w:pPr>
    </w:p>
    <w:p w14:paraId="324631B6" w14:textId="77777777" w:rsidR="00FA3387" w:rsidRPr="00FA3387" w:rsidRDefault="00FA3387" w:rsidP="00F42C0D">
      <w:pPr>
        <w:spacing w:after="0"/>
        <w:rPr>
          <w:rFonts w:cstheme="minorHAnsi"/>
          <w:sz w:val="24"/>
          <w:szCs w:val="24"/>
        </w:rPr>
      </w:pPr>
    </w:p>
    <w:p w14:paraId="5CDCA969" w14:textId="77777777" w:rsidR="00F42C0D" w:rsidRPr="00F42C0D" w:rsidRDefault="00F42C0D" w:rsidP="00F42C0D">
      <w:pPr>
        <w:spacing w:after="0"/>
        <w:rPr>
          <w:rFonts w:cstheme="minorHAnsi"/>
        </w:rPr>
      </w:pPr>
    </w:p>
    <w:tbl>
      <w:tblPr>
        <w:tblStyle w:val="GridTable4-Accent5"/>
        <w:tblW w:w="11595" w:type="dxa"/>
        <w:tblInd w:w="-1290" w:type="dxa"/>
        <w:tblLook w:val="04A0" w:firstRow="1" w:lastRow="0" w:firstColumn="1" w:lastColumn="0" w:noHBand="0" w:noVBand="1"/>
      </w:tblPr>
      <w:tblGrid>
        <w:gridCol w:w="3114"/>
        <w:gridCol w:w="1243"/>
        <w:gridCol w:w="1210"/>
        <w:gridCol w:w="1658"/>
        <w:gridCol w:w="1559"/>
        <w:gridCol w:w="1394"/>
        <w:gridCol w:w="1417"/>
      </w:tblGrid>
      <w:tr w:rsidR="00F42C0D" w:rsidRPr="00B2316D" w14:paraId="41435DBF" w14:textId="77777777" w:rsidTr="00FC03F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14" w:type="dxa"/>
            <w:hideMark/>
          </w:tcPr>
          <w:p w14:paraId="185BFE48" w14:textId="77777777" w:rsidR="00F42C0D" w:rsidRPr="00B2316D" w:rsidRDefault="00F42C0D" w:rsidP="00FC03F1">
            <w:pPr>
              <w:rPr>
                <w:rFonts w:eastAsia="Times New Roman" w:cstheme="minorHAnsi"/>
                <w:color w:val="FFFFFF"/>
                <w:sz w:val="20"/>
                <w:szCs w:val="20"/>
                <w:lang w:eastAsia="en-GB"/>
              </w:rPr>
            </w:pPr>
          </w:p>
        </w:tc>
        <w:tc>
          <w:tcPr>
            <w:tcW w:w="1243" w:type="dxa"/>
            <w:hideMark/>
          </w:tcPr>
          <w:p w14:paraId="1C36E188" w14:textId="77777777" w:rsidR="00F42C0D" w:rsidRPr="00B2316D" w:rsidRDefault="00F42C0D" w:rsidP="00FC03F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0"/>
                <w:szCs w:val="20"/>
                <w:lang w:eastAsia="en-GB"/>
              </w:rPr>
            </w:pPr>
            <w:r w:rsidRPr="00D62315">
              <w:rPr>
                <w:rFonts w:eastAsia="Times New Roman" w:cstheme="minorHAnsi"/>
                <w:color w:val="3B3838" w:themeColor="background2" w:themeShade="40"/>
                <w:sz w:val="20"/>
                <w:szCs w:val="20"/>
                <w:lang w:eastAsia="en-GB"/>
              </w:rPr>
              <w:t>Percentage with low numeracy</w:t>
            </w:r>
          </w:p>
        </w:tc>
        <w:tc>
          <w:tcPr>
            <w:tcW w:w="1210" w:type="dxa"/>
            <w:hideMark/>
          </w:tcPr>
          <w:p w14:paraId="0076DBED" w14:textId="77777777" w:rsidR="00F42C0D" w:rsidRPr="00D62315" w:rsidRDefault="00F42C0D" w:rsidP="00FC03F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B3838" w:themeColor="background2" w:themeShade="40"/>
                <w:sz w:val="20"/>
                <w:szCs w:val="20"/>
                <w:lang w:eastAsia="en-GB"/>
              </w:rPr>
            </w:pPr>
            <w:r w:rsidRPr="00D62315">
              <w:rPr>
                <w:rFonts w:eastAsia="Times New Roman" w:cstheme="minorHAnsi"/>
                <w:color w:val="3B3838" w:themeColor="background2" w:themeShade="40"/>
                <w:sz w:val="20"/>
                <w:szCs w:val="20"/>
                <w:lang w:eastAsia="en-GB"/>
              </w:rPr>
              <w:t>WoE employees</w:t>
            </w:r>
          </w:p>
        </w:tc>
        <w:tc>
          <w:tcPr>
            <w:tcW w:w="1658" w:type="dxa"/>
            <w:hideMark/>
          </w:tcPr>
          <w:p w14:paraId="6ADFCB71" w14:textId="77777777" w:rsidR="00F42C0D" w:rsidRPr="00D62315" w:rsidRDefault="00F42C0D" w:rsidP="00FC03F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B3838" w:themeColor="background2" w:themeShade="40"/>
                <w:sz w:val="20"/>
                <w:szCs w:val="20"/>
                <w:lang w:eastAsia="en-GB"/>
              </w:rPr>
            </w:pPr>
            <w:r w:rsidRPr="00D62315">
              <w:rPr>
                <w:rFonts w:eastAsia="Times New Roman" w:cstheme="minorHAnsi"/>
                <w:color w:val="3B3838" w:themeColor="background2" w:themeShade="40"/>
                <w:sz w:val="20"/>
                <w:szCs w:val="20"/>
                <w:lang w:eastAsia="en-GB"/>
              </w:rPr>
              <w:t>No. employees with low numeracy, WoE</w:t>
            </w:r>
          </w:p>
        </w:tc>
        <w:tc>
          <w:tcPr>
            <w:tcW w:w="1559" w:type="dxa"/>
            <w:hideMark/>
          </w:tcPr>
          <w:p w14:paraId="268C9EAC" w14:textId="77777777" w:rsidR="00F42C0D" w:rsidRPr="00D62315" w:rsidRDefault="00F42C0D" w:rsidP="00FC03F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B3838" w:themeColor="background2" w:themeShade="40"/>
                <w:sz w:val="20"/>
                <w:szCs w:val="20"/>
                <w:lang w:eastAsia="en-GB"/>
              </w:rPr>
            </w:pPr>
            <w:r w:rsidRPr="00D62315">
              <w:rPr>
                <w:rFonts w:eastAsia="Times New Roman" w:cstheme="minorHAnsi"/>
                <w:color w:val="3B3838" w:themeColor="background2" w:themeShade="40"/>
                <w:sz w:val="20"/>
                <w:szCs w:val="20"/>
                <w:lang w:eastAsia="en-GB"/>
              </w:rPr>
              <w:t>Percentage of employees in sector (WoE)</w:t>
            </w:r>
          </w:p>
        </w:tc>
        <w:tc>
          <w:tcPr>
            <w:tcW w:w="1394" w:type="dxa"/>
            <w:hideMark/>
          </w:tcPr>
          <w:p w14:paraId="7BAFEBCC" w14:textId="77777777" w:rsidR="00F42C0D" w:rsidRPr="00D62315" w:rsidRDefault="00F42C0D" w:rsidP="00FC03F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B3838" w:themeColor="background2" w:themeShade="40"/>
                <w:sz w:val="20"/>
                <w:szCs w:val="20"/>
                <w:lang w:eastAsia="en-GB"/>
              </w:rPr>
            </w:pPr>
            <w:r w:rsidRPr="00D62315">
              <w:rPr>
                <w:rFonts w:eastAsia="Times New Roman" w:cstheme="minorHAnsi"/>
                <w:color w:val="3B3838" w:themeColor="background2" w:themeShade="40"/>
                <w:sz w:val="20"/>
                <w:szCs w:val="20"/>
                <w:lang w:eastAsia="en-GB"/>
              </w:rPr>
              <w:t>Percentage of employees in sector (England)</w:t>
            </w:r>
          </w:p>
        </w:tc>
        <w:tc>
          <w:tcPr>
            <w:tcW w:w="1417" w:type="dxa"/>
            <w:hideMark/>
          </w:tcPr>
          <w:p w14:paraId="26F5DD9B" w14:textId="77777777" w:rsidR="00F42C0D" w:rsidRPr="00D62315" w:rsidRDefault="00F42C0D" w:rsidP="00FC03F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B3838" w:themeColor="background2" w:themeShade="40"/>
                <w:sz w:val="20"/>
                <w:szCs w:val="20"/>
                <w:lang w:eastAsia="en-GB"/>
              </w:rPr>
            </w:pPr>
            <w:r w:rsidRPr="00D62315">
              <w:rPr>
                <w:rFonts w:eastAsia="Times New Roman" w:cstheme="minorHAnsi"/>
                <w:color w:val="3B3838" w:themeColor="background2" w:themeShade="40"/>
                <w:sz w:val="20"/>
                <w:szCs w:val="20"/>
                <w:lang w:eastAsia="en-GB"/>
              </w:rPr>
              <w:t>WoE difference from national average</w:t>
            </w:r>
          </w:p>
        </w:tc>
      </w:tr>
      <w:tr w:rsidR="00F42C0D" w:rsidRPr="00B2316D" w14:paraId="6BAD4B5B"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0704B71" w14:textId="77777777" w:rsidR="00F42C0D" w:rsidRPr="00B2316D" w:rsidRDefault="00F42C0D" w:rsidP="00FC03F1">
            <w:pPr>
              <w:rPr>
                <w:rFonts w:eastAsia="Times New Roman" w:cstheme="minorHAnsi"/>
                <w:color w:val="000000"/>
                <w:sz w:val="20"/>
                <w:szCs w:val="20"/>
                <w:lang w:eastAsia="en-GB"/>
              </w:rPr>
            </w:pPr>
            <w:r w:rsidRPr="00B2316D">
              <w:rPr>
                <w:rFonts w:eastAsia="Times New Roman" w:cstheme="minorHAnsi"/>
                <w:color w:val="000000"/>
                <w:sz w:val="20"/>
                <w:szCs w:val="20"/>
                <w:lang w:eastAsia="en-GB"/>
              </w:rPr>
              <w:t>Administrative and Support Service Activities</w:t>
            </w:r>
          </w:p>
        </w:tc>
        <w:tc>
          <w:tcPr>
            <w:tcW w:w="1243" w:type="dxa"/>
            <w:noWrap/>
            <w:hideMark/>
          </w:tcPr>
          <w:p w14:paraId="7F0B0CD5"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61%</w:t>
            </w:r>
          </w:p>
        </w:tc>
        <w:tc>
          <w:tcPr>
            <w:tcW w:w="1210" w:type="dxa"/>
            <w:noWrap/>
            <w:hideMark/>
          </w:tcPr>
          <w:p w14:paraId="65F83EF6"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57345</w:t>
            </w:r>
          </w:p>
        </w:tc>
        <w:tc>
          <w:tcPr>
            <w:tcW w:w="1658" w:type="dxa"/>
            <w:noWrap/>
            <w:hideMark/>
          </w:tcPr>
          <w:p w14:paraId="7F945FAB"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34980</w:t>
            </w:r>
          </w:p>
        </w:tc>
        <w:tc>
          <w:tcPr>
            <w:tcW w:w="1559" w:type="dxa"/>
            <w:noWrap/>
            <w:hideMark/>
          </w:tcPr>
          <w:p w14:paraId="7A27306F"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9%</w:t>
            </w:r>
          </w:p>
        </w:tc>
        <w:tc>
          <w:tcPr>
            <w:tcW w:w="1394" w:type="dxa"/>
            <w:noWrap/>
            <w:hideMark/>
          </w:tcPr>
          <w:p w14:paraId="4C7A0257"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w:t>
            </w:r>
          </w:p>
        </w:tc>
        <w:tc>
          <w:tcPr>
            <w:tcW w:w="1417" w:type="dxa"/>
            <w:noWrap/>
            <w:hideMark/>
          </w:tcPr>
          <w:p w14:paraId="7FB8B2B8"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w:t>
            </w:r>
          </w:p>
        </w:tc>
      </w:tr>
      <w:tr w:rsidR="00F42C0D" w:rsidRPr="00B2316D" w14:paraId="0C2EB9AC" w14:textId="77777777" w:rsidTr="00FC03F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Professional, Scientific and Technical Activities</w:t>
            </w:r>
          </w:p>
        </w:tc>
        <w:tc>
          <w:tcPr>
            <w:tcW w:w="1243" w:type="dxa"/>
            <w:noWrap/>
            <w:hideMark/>
          </w:tcPr>
          <w:p w14:paraId="556E183A"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31%</w:t>
            </w:r>
          </w:p>
        </w:tc>
        <w:tc>
          <w:tcPr>
            <w:tcW w:w="1210" w:type="dxa"/>
            <w:noWrap/>
            <w:hideMark/>
          </w:tcPr>
          <w:p w14:paraId="7BA45749"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63720</w:t>
            </w:r>
          </w:p>
        </w:tc>
        <w:tc>
          <w:tcPr>
            <w:tcW w:w="1658" w:type="dxa"/>
            <w:noWrap/>
            <w:hideMark/>
          </w:tcPr>
          <w:p w14:paraId="6AB59323"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19753</w:t>
            </w:r>
          </w:p>
        </w:tc>
        <w:tc>
          <w:tcPr>
            <w:tcW w:w="1559" w:type="dxa"/>
            <w:noWrap/>
            <w:hideMark/>
          </w:tcPr>
          <w:p w14:paraId="52DA9D3A"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10%</w:t>
            </w:r>
          </w:p>
        </w:tc>
        <w:tc>
          <w:tcPr>
            <w:tcW w:w="1394" w:type="dxa"/>
            <w:noWrap/>
            <w:hideMark/>
          </w:tcPr>
          <w:p w14:paraId="27CE890C"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8%</w:t>
            </w:r>
          </w:p>
        </w:tc>
        <w:tc>
          <w:tcPr>
            <w:tcW w:w="1417" w:type="dxa"/>
            <w:noWrap/>
            <w:hideMark/>
          </w:tcPr>
          <w:p w14:paraId="396C5612"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w:t>
            </w:r>
          </w:p>
        </w:tc>
      </w:tr>
      <w:tr w:rsidR="00F42C0D" w:rsidRPr="00B2316D" w14:paraId="04D33C54"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795B9BF" w14:textId="77777777" w:rsidR="00F42C0D" w:rsidRPr="00B2316D" w:rsidRDefault="00F42C0D" w:rsidP="00FC03F1">
            <w:pPr>
              <w:rPr>
                <w:rFonts w:eastAsia="Times New Roman" w:cstheme="minorHAnsi"/>
                <w:color w:val="000000"/>
                <w:sz w:val="20"/>
                <w:szCs w:val="20"/>
                <w:lang w:eastAsia="en-GB"/>
              </w:rPr>
            </w:pPr>
            <w:r w:rsidRPr="00B2316D">
              <w:rPr>
                <w:rFonts w:eastAsia="Times New Roman" w:cstheme="minorHAnsi"/>
                <w:color w:val="000000"/>
                <w:sz w:val="20"/>
                <w:szCs w:val="20"/>
                <w:lang w:eastAsia="en-GB"/>
              </w:rPr>
              <w:t>Accommodation and Food Service Activities</w:t>
            </w:r>
          </w:p>
        </w:tc>
        <w:tc>
          <w:tcPr>
            <w:tcW w:w="1243" w:type="dxa"/>
            <w:noWrap/>
            <w:hideMark/>
          </w:tcPr>
          <w:p w14:paraId="4603D26B"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70%</w:t>
            </w:r>
          </w:p>
        </w:tc>
        <w:tc>
          <w:tcPr>
            <w:tcW w:w="1210" w:type="dxa"/>
            <w:noWrap/>
            <w:hideMark/>
          </w:tcPr>
          <w:p w14:paraId="1BAC1A6E"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40445</w:t>
            </w:r>
          </w:p>
        </w:tc>
        <w:tc>
          <w:tcPr>
            <w:tcW w:w="1658" w:type="dxa"/>
            <w:noWrap/>
            <w:hideMark/>
          </w:tcPr>
          <w:p w14:paraId="347EB358"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28312</w:t>
            </w:r>
          </w:p>
        </w:tc>
        <w:tc>
          <w:tcPr>
            <w:tcW w:w="1559" w:type="dxa"/>
            <w:noWrap/>
            <w:hideMark/>
          </w:tcPr>
          <w:p w14:paraId="7BB31872"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7%</w:t>
            </w:r>
          </w:p>
        </w:tc>
        <w:tc>
          <w:tcPr>
            <w:tcW w:w="1394" w:type="dxa"/>
            <w:noWrap/>
            <w:hideMark/>
          </w:tcPr>
          <w:p w14:paraId="20BDD9AF"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w:t>
            </w:r>
          </w:p>
        </w:tc>
        <w:tc>
          <w:tcPr>
            <w:tcW w:w="1417" w:type="dxa"/>
            <w:noWrap/>
            <w:hideMark/>
          </w:tcPr>
          <w:p w14:paraId="2E54C340"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w:t>
            </w:r>
          </w:p>
        </w:tc>
      </w:tr>
      <w:tr w:rsidR="00F42C0D" w:rsidRPr="00B2316D" w14:paraId="2A62F4C7" w14:textId="77777777" w:rsidTr="00FC03F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BE2055" w14:textId="77777777" w:rsidR="00F42C0D" w:rsidRPr="00B2316D" w:rsidRDefault="00F42C0D" w:rsidP="00FC03F1">
            <w:pPr>
              <w:rPr>
                <w:rFonts w:eastAsia="Times New Roman" w:cstheme="minorHAnsi"/>
                <w:color w:val="000000"/>
                <w:sz w:val="20"/>
                <w:szCs w:val="20"/>
                <w:lang w:eastAsia="en-GB"/>
              </w:rPr>
            </w:pPr>
            <w:r w:rsidRPr="00B2316D">
              <w:rPr>
                <w:rFonts w:eastAsia="Times New Roman" w:cstheme="minorHAnsi"/>
                <w:color w:val="000000"/>
                <w:sz w:val="20"/>
                <w:szCs w:val="20"/>
                <w:lang w:eastAsia="en-GB"/>
              </w:rPr>
              <w:t>Wholesale and Retail Trade; Repair of Motor Vehicles and Motorcycles</w:t>
            </w:r>
          </w:p>
        </w:tc>
        <w:tc>
          <w:tcPr>
            <w:tcW w:w="1243" w:type="dxa"/>
            <w:noWrap/>
            <w:hideMark/>
          </w:tcPr>
          <w:p w14:paraId="36EB3119"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65%</w:t>
            </w:r>
          </w:p>
        </w:tc>
        <w:tc>
          <w:tcPr>
            <w:tcW w:w="1210" w:type="dxa"/>
            <w:noWrap/>
            <w:hideMark/>
          </w:tcPr>
          <w:p w14:paraId="77C76C36"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79065</w:t>
            </w:r>
          </w:p>
        </w:tc>
        <w:tc>
          <w:tcPr>
            <w:tcW w:w="1658" w:type="dxa"/>
            <w:noWrap/>
            <w:hideMark/>
          </w:tcPr>
          <w:p w14:paraId="388F558B"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51392</w:t>
            </w:r>
          </w:p>
        </w:tc>
        <w:tc>
          <w:tcPr>
            <w:tcW w:w="1559" w:type="dxa"/>
            <w:noWrap/>
            <w:hideMark/>
          </w:tcPr>
          <w:p w14:paraId="6DD18E22"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13%</w:t>
            </w:r>
          </w:p>
        </w:tc>
        <w:tc>
          <w:tcPr>
            <w:tcW w:w="1394" w:type="dxa"/>
            <w:noWrap/>
            <w:hideMark/>
          </w:tcPr>
          <w:p w14:paraId="1B46A9FC"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12%</w:t>
            </w:r>
          </w:p>
        </w:tc>
        <w:tc>
          <w:tcPr>
            <w:tcW w:w="1417" w:type="dxa"/>
            <w:noWrap/>
            <w:hideMark/>
          </w:tcPr>
          <w:p w14:paraId="00F3F74D"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r>
      <w:tr w:rsidR="00F42C0D" w:rsidRPr="00B2316D" w14:paraId="2D77E734"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1554BCA"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Information and Communication</w:t>
            </w:r>
          </w:p>
        </w:tc>
        <w:tc>
          <w:tcPr>
            <w:tcW w:w="1243" w:type="dxa"/>
            <w:noWrap/>
            <w:hideMark/>
          </w:tcPr>
          <w:p w14:paraId="30494D07"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27%</w:t>
            </w:r>
          </w:p>
        </w:tc>
        <w:tc>
          <w:tcPr>
            <w:tcW w:w="1210" w:type="dxa"/>
            <w:noWrap/>
            <w:hideMark/>
          </w:tcPr>
          <w:p w14:paraId="071CD010"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37205</w:t>
            </w:r>
          </w:p>
        </w:tc>
        <w:tc>
          <w:tcPr>
            <w:tcW w:w="1658" w:type="dxa"/>
            <w:noWrap/>
            <w:hideMark/>
          </w:tcPr>
          <w:p w14:paraId="7766AEB8"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10045</w:t>
            </w:r>
          </w:p>
        </w:tc>
        <w:tc>
          <w:tcPr>
            <w:tcW w:w="1559" w:type="dxa"/>
            <w:noWrap/>
            <w:hideMark/>
          </w:tcPr>
          <w:p w14:paraId="3949B42E"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w:t>
            </w:r>
          </w:p>
        </w:tc>
        <w:tc>
          <w:tcPr>
            <w:tcW w:w="1394" w:type="dxa"/>
            <w:noWrap/>
            <w:hideMark/>
          </w:tcPr>
          <w:p w14:paraId="5B921729"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w:t>
            </w:r>
          </w:p>
        </w:tc>
        <w:tc>
          <w:tcPr>
            <w:tcW w:w="1417" w:type="dxa"/>
            <w:noWrap/>
            <w:hideMark/>
          </w:tcPr>
          <w:p w14:paraId="0E8F608E"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r>
      <w:tr w:rsidR="00F42C0D" w:rsidRPr="00B2316D" w14:paraId="7300B7B7" w14:textId="77777777" w:rsidTr="00FC03F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BED7188"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Real Estate Activities</w:t>
            </w:r>
          </w:p>
        </w:tc>
        <w:tc>
          <w:tcPr>
            <w:tcW w:w="1243" w:type="dxa"/>
            <w:noWrap/>
            <w:hideMark/>
          </w:tcPr>
          <w:p w14:paraId="0F295EBA"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59%</w:t>
            </w:r>
          </w:p>
        </w:tc>
        <w:tc>
          <w:tcPr>
            <w:tcW w:w="1210" w:type="dxa"/>
            <w:noWrap/>
            <w:hideMark/>
          </w:tcPr>
          <w:p w14:paraId="4123C3D6"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11250</w:t>
            </w:r>
          </w:p>
        </w:tc>
        <w:tc>
          <w:tcPr>
            <w:tcW w:w="1658" w:type="dxa"/>
            <w:noWrap/>
            <w:hideMark/>
          </w:tcPr>
          <w:p w14:paraId="141CC069"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6638</w:t>
            </w:r>
          </w:p>
        </w:tc>
        <w:tc>
          <w:tcPr>
            <w:tcW w:w="1559" w:type="dxa"/>
            <w:noWrap/>
            <w:hideMark/>
          </w:tcPr>
          <w:p w14:paraId="2E0E438D"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w:t>
            </w:r>
          </w:p>
        </w:tc>
        <w:tc>
          <w:tcPr>
            <w:tcW w:w="1394" w:type="dxa"/>
            <w:noWrap/>
            <w:hideMark/>
          </w:tcPr>
          <w:p w14:paraId="74425608"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c>
          <w:tcPr>
            <w:tcW w:w="1417" w:type="dxa"/>
            <w:noWrap/>
            <w:hideMark/>
          </w:tcPr>
          <w:p w14:paraId="2FEB5AA2"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r>
      <w:tr w:rsidR="00F42C0D" w:rsidRPr="00B2316D" w14:paraId="1DCA39BD"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D94D087" w14:textId="77777777" w:rsidR="00F42C0D" w:rsidRPr="00B2316D" w:rsidRDefault="00F42C0D" w:rsidP="00FC03F1">
            <w:pPr>
              <w:rPr>
                <w:rFonts w:eastAsia="Times New Roman" w:cstheme="minorHAnsi"/>
                <w:color w:val="000000"/>
                <w:sz w:val="20"/>
                <w:szCs w:val="20"/>
                <w:lang w:eastAsia="en-GB"/>
              </w:rPr>
            </w:pPr>
            <w:r w:rsidRPr="00B2316D">
              <w:rPr>
                <w:rFonts w:eastAsia="Times New Roman" w:cstheme="minorHAnsi"/>
                <w:color w:val="000000"/>
                <w:sz w:val="20"/>
                <w:szCs w:val="20"/>
                <w:lang w:eastAsia="en-GB"/>
              </w:rPr>
              <w:t>Transportation and Storage</w:t>
            </w:r>
          </w:p>
        </w:tc>
        <w:tc>
          <w:tcPr>
            <w:tcW w:w="1243" w:type="dxa"/>
            <w:noWrap/>
            <w:hideMark/>
          </w:tcPr>
          <w:p w14:paraId="5110BE5B"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66%</w:t>
            </w:r>
          </w:p>
        </w:tc>
        <w:tc>
          <w:tcPr>
            <w:tcW w:w="1210" w:type="dxa"/>
            <w:noWrap/>
            <w:hideMark/>
          </w:tcPr>
          <w:p w14:paraId="0A6397E2"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32545</w:t>
            </w:r>
          </w:p>
        </w:tc>
        <w:tc>
          <w:tcPr>
            <w:tcW w:w="1658" w:type="dxa"/>
            <w:noWrap/>
            <w:hideMark/>
          </w:tcPr>
          <w:p w14:paraId="29C65F04"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21480</w:t>
            </w:r>
          </w:p>
        </w:tc>
        <w:tc>
          <w:tcPr>
            <w:tcW w:w="1559" w:type="dxa"/>
            <w:noWrap/>
            <w:hideMark/>
          </w:tcPr>
          <w:p w14:paraId="3A37F2D9"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w:t>
            </w:r>
          </w:p>
        </w:tc>
        <w:tc>
          <w:tcPr>
            <w:tcW w:w="1394" w:type="dxa"/>
            <w:noWrap/>
            <w:hideMark/>
          </w:tcPr>
          <w:p w14:paraId="0F6C32DF"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w:t>
            </w:r>
          </w:p>
        </w:tc>
        <w:tc>
          <w:tcPr>
            <w:tcW w:w="1417" w:type="dxa"/>
            <w:noWrap/>
            <w:hideMark/>
          </w:tcPr>
          <w:p w14:paraId="44E845CA"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0%</w:t>
            </w:r>
          </w:p>
        </w:tc>
      </w:tr>
      <w:tr w:rsidR="00F42C0D" w:rsidRPr="00B2316D" w14:paraId="0A62D101" w14:textId="77777777" w:rsidTr="00FC03F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215DBF4"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Financial and Insurance Activities</w:t>
            </w:r>
          </w:p>
        </w:tc>
        <w:tc>
          <w:tcPr>
            <w:tcW w:w="1243" w:type="dxa"/>
            <w:noWrap/>
            <w:hideMark/>
          </w:tcPr>
          <w:p w14:paraId="4BA406BE"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36%</w:t>
            </w:r>
          </w:p>
        </w:tc>
        <w:tc>
          <w:tcPr>
            <w:tcW w:w="1210" w:type="dxa"/>
            <w:noWrap/>
            <w:hideMark/>
          </w:tcPr>
          <w:p w14:paraId="6EA37E76"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22710</w:t>
            </w:r>
          </w:p>
        </w:tc>
        <w:tc>
          <w:tcPr>
            <w:tcW w:w="1658" w:type="dxa"/>
            <w:noWrap/>
            <w:hideMark/>
          </w:tcPr>
          <w:p w14:paraId="11377419"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8176</w:t>
            </w:r>
          </w:p>
        </w:tc>
        <w:tc>
          <w:tcPr>
            <w:tcW w:w="1559" w:type="dxa"/>
            <w:noWrap/>
            <w:hideMark/>
          </w:tcPr>
          <w:p w14:paraId="176DA70B"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w:t>
            </w:r>
          </w:p>
        </w:tc>
        <w:tc>
          <w:tcPr>
            <w:tcW w:w="1394" w:type="dxa"/>
            <w:noWrap/>
            <w:hideMark/>
          </w:tcPr>
          <w:p w14:paraId="64AE212B"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w:t>
            </w:r>
          </w:p>
        </w:tc>
        <w:tc>
          <w:tcPr>
            <w:tcW w:w="1417" w:type="dxa"/>
            <w:noWrap/>
            <w:hideMark/>
          </w:tcPr>
          <w:p w14:paraId="073B561A"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r>
      <w:tr w:rsidR="00F42C0D" w:rsidRPr="00B2316D" w14:paraId="22EC24D2"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F8D7A0" w14:textId="77777777" w:rsidR="00F42C0D" w:rsidRPr="00B2316D" w:rsidRDefault="00F42C0D" w:rsidP="00FC03F1">
            <w:pPr>
              <w:rPr>
                <w:rFonts w:eastAsia="Times New Roman" w:cstheme="minorHAnsi"/>
                <w:color w:val="000000"/>
                <w:sz w:val="20"/>
                <w:szCs w:val="20"/>
                <w:lang w:eastAsia="en-GB"/>
              </w:rPr>
            </w:pPr>
            <w:r w:rsidRPr="00B2316D">
              <w:rPr>
                <w:rFonts w:eastAsia="Times New Roman" w:cstheme="minorHAnsi"/>
                <w:color w:val="000000"/>
                <w:sz w:val="20"/>
                <w:szCs w:val="20"/>
                <w:lang w:eastAsia="en-GB"/>
              </w:rPr>
              <w:t>Other Service Activities</w:t>
            </w:r>
          </w:p>
        </w:tc>
        <w:tc>
          <w:tcPr>
            <w:tcW w:w="1243" w:type="dxa"/>
            <w:noWrap/>
            <w:hideMark/>
          </w:tcPr>
          <w:p w14:paraId="6474DACE"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65%</w:t>
            </w:r>
          </w:p>
        </w:tc>
        <w:tc>
          <w:tcPr>
            <w:tcW w:w="1210" w:type="dxa"/>
            <w:noWrap/>
            <w:hideMark/>
          </w:tcPr>
          <w:p w14:paraId="71FB0E30"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8445</w:t>
            </w:r>
          </w:p>
        </w:tc>
        <w:tc>
          <w:tcPr>
            <w:tcW w:w="1658" w:type="dxa"/>
            <w:noWrap/>
            <w:hideMark/>
          </w:tcPr>
          <w:p w14:paraId="475C4338"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5489</w:t>
            </w:r>
          </w:p>
        </w:tc>
        <w:tc>
          <w:tcPr>
            <w:tcW w:w="1559" w:type="dxa"/>
            <w:noWrap/>
            <w:hideMark/>
          </w:tcPr>
          <w:p w14:paraId="398B97E2"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c>
          <w:tcPr>
            <w:tcW w:w="1394" w:type="dxa"/>
            <w:noWrap/>
            <w:hideMark/>
          </w:tcPr>
          <w:p w14:paraId="3B4E7917"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w:t>
            </w:r>
          </w:p>
        </w:tc>
        <w:tc>
          <w:tcPr>
            <w:tcW w:w="1417" w:type="dxa"/>
            <w:noWrap/>
            <w:hideMark/>
          </w:tcPr>
          <w:p w14:paraId="4C8845D7"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w:t>
            </w:r>
          </w:p>
        </w:tc>
      </w:tr>
      <w:tr w:rsidR="00F42C0D" w:rsidRPr="00B2316D" w14:paraId="773D5FA3" w14:textId="77777777" w:rsidTr="00FC03F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84D4C5A"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Agriculture, Forestry and Fishing</w:t>
            </w:r>
          </w:p>
        </w:tc>
        <w:tc>
          <w:tcPr>
            <w:tcW w:w="1243" w:type="dxa"/>
            <w:noWrap/>
            <w:hideMark/>
          </w:tcPr>
          <w:p w14:paraId="2876FE26"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59%</w:t>
            </w:r>
          </w:p>
        </w:tc>
        <w:tc>
          <w:tcPr>
            <w:tcW w:w="1210" w:type="dxa"/>
            <w:noWrap/>
            <w:hideMark/>
          </w:tcPr>
          <w:p w14:paraId="7800CF65"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275</w:t>
            </w:r>
          </w:p>
        </w:tc>
        <w:tc>
          <w:tcPr>
            <w:tcW w:w="1658" w:type="dxa"/>
            <w:noWrap/>
            <w:hideMark/>
          </w:tcPr>
          <w:p w14:paraId="52213C7E"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162</w:t>
            </w:r>
          </w:p>
        </w:tc>
        <w:tc>
          <w:tcPr>
            <w:tcW w:w="1559" w:type="dxa"/>
            <w:noWrap/>
            <w:hideMark/>
          </w:tcPr>
          <w:p w14:paraId="601A8FB4"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0%</w:t>
            </w:r>
          </w:p>
        </w:tc>
        <w:tc>
          <w:tcPr>
            <w:tcW w:w="1394" w:type="dxa"/>
            <w:noWrap/>
            <w:hideMark/>
          </w:tcPr>
          <w:p w14:paraId="7607D5BD"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c>
          <w:tcPr>
            <w:tcW w:w="1417" w:type="dxa"/>
            <w:noWrap/>
            <w:hideMark/>
          </w:tcPr>
          <w:p w14:paraId="259F9C56"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r>
      <w:tr w:rsidR="00F42C0D" w:rsidRPr="00B2316D" w14:paraId="51EA580D"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88AEC99" w14:textId="77777777" w:rsidR="00F42C0D" w:rsidRPr="00B2316D" w:rsidRDefault="00F42C0D" w:rsidP="00FC03F1">
            <w:pPr>
              <w:rPr>
                <w:rFonts w:eastAsia="Times New Roman" w:cstheme="minorHAnsi"/>
                <w:color w:val="000000"/>
                <w:sz w:val="20"/>
                <w:szCs w:val="20"/>
                <w:lang w:eastAsia="en-GB"/>
              </w:rPr>
            </w:pPr>
            <w:r w:rsidRPr="00B2316D">
              <w:rPr>
                <w:rFonts w:eastAsia="Times New Roman" w:cstheme="minorHAnsi"/>
                <w:color w:val="000000"/>
                <w:sz w:val="20"/>
                <w:szCs w:val="20"/>
                <w:lang w:eastAsia="en-GB"/>
              </w:rPr>
              <w:t>Human Health and Social Work Activities</w:t>
            </w:r>
          </w:p>
        </w:tc>
        <w:tc>
          <w:tcPr>
            <w:tcW w:w="1243" w:type="dxa"/>
            <w:noWrap/>
            <w:hideMark/>
          </w:tcPr>
          <w:p w14:paraId="54A37123"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61%</w:t>
            </w:r>
          </w:p>
        </w:tc>
        <w:tc>
          <w:tcPr>
            <w:tcW w:w="1210" w:type="dxa"/>
            <w:noWrap/>
            <w:hideMark/>
          </w:tcPr>
          <w:p w14:paraId="1D383777"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79900</w:t>
            </w:r>
          </w:p>
        </w:tc>
        <w:tc>
          <w:tcPr>
            <w:tcW w:w="1658" w:type="dxa"/>
            <w:noWrap/>
            <w:hideMark/>
          </w:tcPr>
          <w:p w14:paraId="10B48B5A"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48739</w:t>
            </w:r>
          </w:p>
        </w:tc>
        <w:tc>
          <w:tcPr>
            <w:tcW w:w="1559" w:type="dxa"/>
            <w:noWrap/>
            <w:hideMark/>
          </w:tcPr>
          <w:p w14:paraId="7952BB3B"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13%</w:t>
            </w:r>
          </w:p>
        </w:tc>
        <w:tc>
          <w:tcPr>
            <w:tcW w:w="1394" w:type="dxa"/>
            <w:noWrap/>
            <w:hideMark/>
          </w:tcPr>
          <w:p w14:paraId="75E5C7D5"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14%</w:t>
            </w:r>
          </w:p>
        </w:tc>
        <w:tc>
          <w:tcPr>
            <w:tcW w:w="1417" w:type="dxa"/>
            <w:noWrap/>
            <w:hideMark/>
          </w:tcPr>
          <w:p w14:paraId="0B302AE5"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r>
      <w:tr w:rsidR="00F42C0D" w:rsidRPr="00B2316D" w14:paraId="553192D8" w14:textId="77777777" w:rsidTr="00FC03F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640C1CB"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Education</w:t>
            </w:r>
          </w:p>
        </w:tc>
        <w:tc>
          <w:tcPr>
            <w:tcW w:w="1243" w:type="dxa"/>
            <w:noWrap/>
            <w:hideMark/>
          </w:tcPr>
          <w:p w14:paraId="1D573EC6"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42%</w:t>
            </w:r>
          </w:p>
        </w:tc>
        <w:tc>
          <w:tcPr>
            <w:tcW w:w="1210" w:type="dxa"/>
            <w:noWrap/>
            <w:hideMark/>
          </w:tcPr>
          <w:p w14:paraId="370FE3FC"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57125</w:t>
            </w:r>
          </w:p>
        </w:tc>
        <w:tc>
          <w:tcPr>
            <w:tcW w:w="1658" w:type="dxa"/>
            <w:noWrap/>
            <w:hideMark/>
          </w:tcPr>
          <w:p w14:paraId="77A9FAE8"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23993</w:t>
            </w:r>
          </w:p>
        </w:tc>
        <w:tc>
          <w:tcPr>
            <w:tcW w:w="1559" w:type="dxa"/>
            <w:noWrap/>
            <w:hideMark/>
          </w:tcPr>
          <w:p w14:paraId="4F0B979B"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9%</w:t>
            </w:r>
          </w:p>
        </w:tc>
        <w:tc>
          <w:tcPr>
            <w:tcW w:w="1394" w:type="dxa"/>
            <w:noWrap/>
            <w:hideMark/>
          </w:tcPr>
          <w:p w14:paraId="0AC402EF"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11%</w:t>
            </w:r>
          </w:p>
        </w:tc>
        <w:tc>
          <w:tcPr>
            <w:tcW w:w="1417" w:type="dxa"/>
            <w:noWrap/>
            <w:hideMark/>
          </w:tcPr>
          <w:p w14:paraId="1CB13456"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w:t>
            </w:r>
          </w:p>
        </w:tc>
      </w:tr>
      <w:tr w:rsidR="00F42C0D" w:rsidRPr="00B2316D" w14:paraId="58853D0B"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DB4CDF"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Public Administration and Defence; Compulsory Social Security</w:t>
            </w:r>
          </w:p>
        </w:tc>
        <w:tc>
          <w:tcPr>
            <w:tcW w:w="1243" w:type="dxa"/>
            <w:noWrap/>
            <w:hideMark/>
          </w:tcPr>
          <w:p w14:paraId="1D20F023"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43%</w:t>
            </w:r>
          </w:p>
        </w:tc>
        <w:tc>
          <w:tcPr>
            <w:tcW w:w="1210" w:type="dxa"/>
            <w:noWrap/>
            <w:hideMark/>
          </w:tcPr>
          <w:p w14:paraId="13A9427D"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37100</w:t>
            </w:r>
          </w:p>
        </w:tc>
        <w:tc>
          <w:tcPr>
            <w:tcW w:w="1658" w:type="dxa"/>
            <w:noWrap/>
            <w:hideMark/>
          </w:tcPr>
          <w:p w14:paraId="5F686BBB"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15953</w:t>
            </w:r>
          </w:p>
        </w:tc>
        <w:tc>
          <w:tcPr>
            <w:tcW w:w="1559" w:type="dxa"/>
            <w:noWrap/>
            <w:hideMark/>
          </w:tcPr>
          <w:p w14:paraId="43F9D939"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w:t>
            </w:r>
          </w:p>
        </w:tc>
        <w:tc>
          <w:tcPr>
            <w:tcW w:w="1394" w:type="dxa"/>
            <w:noWrap/>
            <w:hideMark/>
          </w:tcPr>
          <w:p w14:paraId="630F35F3"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8%</w:t>
            </w:r>
          </w:p>
        </w:tc>
        <w:tc>
          <w:tcPr>
            <w:tcW w:w="1417" w:type="dxa"/>
            <w:noWrap/>
            <w:hideMark/>
          </w:tcPr>
          <w:p w14:paraId="599587BD"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w:t>
            </w:r>
          </w:p>
        </w:tc>
      </w:tr>
      <w:tr w:rsidR="00F42C0D" w:rsidRPr="00B2316D" w14:paraId="6442C7B3" w14:textId="77777777" w:rsidTr="00FC03F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A83B19B"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Mining and Quarrying</w:t>
            </w:r>
          </w:p>
        </w:tc>
        <w:tc>
          <w:tcPr>
            <w:tcW w:w="1243" w:type="dxa"/>
            <w:noWrap/>
            <w:hideMark/>
          </w:tcPr>
          <w:p w14:paraId="79413C48"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59%</w:t>
            </w:r>
          </w:p>
        </w:tc>
        <w:tc>
          <w:tcPr>
            <w:tcW w:w="1210" w:type="dxa"/>
            <w:noWrap/>
            <w:hideMark/>
          </w:tcPr>
          <w:p w14:paraId="56B2801B"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115</w:t>
            </w:r>
          </w:p>
        </w:tc>
        <w:tc>
          <w:tcPr>
            <w:tcW w:w="1658" w:type="dxa"/>
            <w:noWrap/>
            <w:hideMark/>
          </w:tcPr>
          <w:p w14:paraId="18E95FA8"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68</w:t>
            </w:r>
          </w:p>
        </w:tc>
        <w:tc>
          <w:tcPr>
            <w:tcW w:w="1559" w:type="dxa"/>
            <w:noWrap/>
            <w:hideMark/>
          </w:tcPr>
          <w:p w14:paraId="4C076D52"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0%</w:t>
            </w:r>
          </w:p>
        </w:tc>
        <w:tc>
          <w:tcPr>
            <w:tcW w:w="1394" w:type="dxa"/>
            <w:noWrap/>
            <w:hideMark/>
          </w:tcPr>
          <w:p w14:paraId="53F9D2F5"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w:t>
            </w:r>
          </w:p>
        </w:tc>
        <w:tc>
          <w:tcPr>
            <w:tcW w:w="1417" w:type="dxa"/>
            <w:noWrap/>
            <w:hideMark/>
          </w:tcPr>
          <w:p w14:paraId="321ED79F"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w:t>
            </w:r>
          </w:p>
        </w:tc>
      </w:tr>
      <w:tr w:rsidR="00F42C0D" w:rsidRPr="00B2316D" w14:paraId="5CE25A9B" w14:textId="77777777" w:rsidTr="00FC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0F40F2B" w14:textId="77777777" w:rsidR="00F42C0D" w:rsidRPr="00B2316D" w:rsidRDefault="00F42C0D" w:rsidP="00FC03F1">
            <w:pPr>
              <w:rPr>
                <w:rFonts w:eastAsia="Times New Roman" w:cstheme="minorHAnsi"/>
                <w:color w:val="000000"/>
                <w:sz w:val="20"/>
                <w:szCs w:val="20"/>
                <w:lang w:eastAsia="en-GB"/>
              </w:rPr>
            </w:pPr>
            <w:r w:rsidRPr="00B2316D">
              <w:rPr>
                <w:rFonts w:eastAsia="Times New Roman" w:cstheme="minorHAnsi"/>
                <w:color w:val="000000"/>
                <w:sz w:val="20"/>
                <w:szCs w:val="20"/>
                <w:lang w:eastAsia="en-GB"/>
              </w:rPr>
              <w:t>Construction</w:t>
            </w:r>
          </w:p>
        </w:tc>
        <w:tc>
          <w:tcPr>
            <w:tcW w:w="1243" w:type="dxa"/>
            <w:noWrap/>
            <w:hideMark/>
          </w:tcPr>
          <w:p w14:paraId="5DF6C919"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60%</w:t>
            </w:r>
          </w:p>
        </w:tc>
        <w:tc>
          <w:tcPr>
            <w:tcW w:w="1210" w:type="dxa"/>
            <w:noWrap/>
            <w:hideMark/>
          </w:tcPr>
          <w:p w14:paraId="5F8DB440"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28780</w:t>
            </w:r>
          </w:p>
        </w:tc>
        <w:tc>
          <w:tcPr>
            <w:tcW w:w="1658" w:type="dxa"/>
            <w:noWrap/>
            <w:hideMark/>
          </w:tcPr>
          <w:p w14:paraId="5A48D1DE"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17268</w:t>
            </w:r>
          </w:p>
        </w:tc>
        <w:tc>
          <w:tcPr>
            <w:tcW w:w="1559" w:type="dxa"/>
            <w:noWrap/>
            <w:hideMark/>
          </w:tcPr>
          <w:p w14:paraId="36A80A97"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w:t>
            </w:r>
          </w:p>
        </w:tc>
        <w:tc>
          <w:tcPr>
            <w:tcW w:w="1394" w:type="dxa"/>
            <w:noWrap/>
            <w:hideMark/>
          </w:tcPr>
          <w:p w14:paraId="67AB0DA2"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7%</w:t>
            </w:r>
          </w:p>
        </w:tc>
        <w:tc>
          <w:tcPr>
            <w:tcW w:w="1417" w:type="dxa"/>
            <w:noWrap/>
            <w:hideMark/>
          </w:tcPr>
          <w:p w14:paraId="2836E455" w14:textId="77777777" w:rsidR="00F42C0D" w:rsidRPr="00B2316D" w:rsidRDefault="00F42C0D" w:rsidP="00FC03F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-2%</w:t>
            </w:r>
          </w:p>
        </w:tc>
      </w:tr>
      <w:tr w:rsidR="00F42C0D" w:rsidRPr="00B2316D" w14:paraId="4D83F342" w14:textId="77777777" w:rsidTr="00FC03F1">
        <w:trPr>
          <w:trHeight w:val="315"/>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2BAE251" w14:textId="77777777" w:rsidR="00F42C0D" w:rsidRPr="00B2316D" w:rsidRDefault="00F42C0D" w:rsidP="00FC03F1">
            <w:pPr>
              <w:rPr>
                <w:rFonts w:eastAsia="Times New Roman" w:cstheme="minorHAnsi"/>
                <w:b w:val="0"/>
                <w:bCs w:val="0"/>
                <w:color w:val="000000"/>
                <w:sz w:val="20"/>
                <w:szCs w:val="20"/>
                <w:lang w:eastAsia="en-GB"/>
              </w:rPr>
            </w:pPr>
            <w:r w:rsidRPr="00B2316D">
              <w:rPr>
                <w:rFonts w:eastAsia="Times New Roman" w:cstheme="minorHAnsi"/>
                <w:b w:val="0"/>
                <w:bCs w:val="0"/>
                <w:color w:val="000000"/>
                <w:sz w:val="20"/>
                <w:szCs w:val="20"/>
                <w:lang w:eastAsia="en-GB"/>
              </w:rPr>
              <w:t>Manufacturing</w:t>
            </w:r>
          </w:p>
        </w:tc>
        <w:tc>
          <w:tcPr>
            <w:tcW w:w="1243" w:type="dxa"/>
            <w:noWrap/>
            <w:hideMark/>
          </w:tcPr>
          <w:p w14:paraId="068940DB"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54%</w:t>
            </w:r>
          </w:p>
        </w:tc>
        <w:tc>
          <w:tcPr>
            <w:tcW w:w="1210" w:type="dxa"/>
            <w:noWrap/>
            <w:hideMark/>
          </w:tcPr>
          <w:p w14:paraId="5A89B5BF"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35010</w:t>
            </w:r>
          </w:p>
        </w:tc>
        <w:tc>
          <w:tcPr>
            <w:tcW w:w="1658" w:type="dxa"/>
            <w:noWrap/>
            <w:hideMark/>
          </w:tcPr>
          <w:p w14:paraId="700E5652"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18905</w:t>
            </w:r>
          </w:p>
        </w:tc>
        <w:tc>
          <w:tcPr>
            <w:tcW w:w="1559" w:type="dxa"/>
            <w:noWrap/>
            <w:hideMark/>
          </w:tcPr>
          <w:p w14:paraId="7112843E"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6%</w:t>
            </w:r>
          </w:p>
        </w:tc>
        <w:tc>
          <w:tcPr>
            <w:tcW w:w="1394" w:type="dxa"/>
            <w:noWrap/>
            <w:hideMark/>
          </w:tcPr>
          <w:p w14:paraId="6E68337C"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8%</w:t>
            </w:r>
          </w:p>
        </w:tc>
        <w:tc>
          <w:tcPr>
            <w:tcW w:w="1417" w:type="dxa"/>
            <w:noWrap/>
            <w:hideMark/>
          </w:tcPr>
          <w:p w14:paraId="2E8C0AB8" w14:textId="77777777" w:rsidR="00F42C0D" w:rsidRPr="00B2316D" w:rsidRDefault="00F42C0D" w:rsidP="00FC03F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2316D">
              <w:rPr>
                <w:rFonts w:eastAsia="Times New Roman" w:cstheme="minorHAnsi"/>
                <w:color w:val="000000"/>
                <w:sz w:val="20"/>
                <w:szCs w:val="20"/>
                <w:lang w:eastAsia="en-GB"/>
              </w:rPr>
              <w:t>-3%</w:t>
            </w:r>
          </w:p>
        </w:tc>
      </w:tr>
    </w:tbl>
    <w:p w14:paraId="60999348" w14:textId="77777777" w:rsidR="007E02EC" w:rsidRPr="00F42C0D" w:rsidRDefault="007E02EC" w:rsidP="00105FA8">
      <w:pPr>
        <w:spacing w:after="0"/>
        <w:rPr>
          <w:rFonts w:cstheme="minorHAnsi"/>
        </w:rPr>
      </w:pPr>
    </w:p>
    <w:sectPr w:rsidR="007E02EC" w:rsidRPr="00F42C0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D6D7" w14:textId="77777777" w:rsidR="001C324F" w:rsidRDefault="001C324F" w:rsidP="00F755D2">
      <w:pPr>
        <w:spacing w:after="0" w:line="240" w:lineRule="auto"/>
      </w:pPr>
      <w:r>
        <w:separator/>
      </w:r>
    </w:p>
  </w:endnote>
  <w:endnote w:type="continuationSeparator" w:id="0">
    <w:p w14:paraId="4289E613" w14:textId="77777777" w:rsidR="001C324F" w:rsidRDefault="001C324F" w:rsidP="00F755D2">
      <w:pPr>
        <w:spacing w:after="0" w:line="240" w:lineRule="auto"/>
      </w:pPr>
      <w:r>
        <w:continuationSeparator/>
      </w:r>
    </w:p>
  </w:endnote>
  <w:endnote w:type="continuationNotice" w:id="1">
    <w:p w14:paraId="685FED18" w14:textId="77777777" w:rsidR="001C324F" w:rsidRDefault="001C3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95596"/>
      <w:docPartObj>
        <w:docPartGallery w:val="Page Numbers (Bottom of Page)"/>
        <w:docPartUnique/>
      </w:docPartObj>
    </w:sdtPr>
    <w:sdtEndPr>
      <w:rPr>
        <w:noProof/>
      </w:rPr>
    </w:sdtEndPr>
    <w:sdtContent>
      <w:p w14:paraId="43871000" w14:textId="00AA88A6" w:rsidR="00E924A7" w:rsidRDefault="00E92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BECCC" w14:textId="77777777" w:rsidR="00E924A7" w:rsidRDefault="00E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DA17" w14:textId="77777777" w:rsidR="001C324F" w:rsidRDefault="001C324F" w:rsidP="00F755D2">
      <w:pPr>
        <w:spacing w:after="0" w:line="240" w:lineRule="auto"/>
      </w:pPr>
      <w:r>
        <w:separator/>
      </w:r>
    </w:p>
  </w:footnote>
  <w:footnote w:type="continuationSeparator" w:id="0">
    <w:p w14:paraId="6577E824" w14:textId="77777777" w:rsidR="001C324F" w:rsidRDefault="001C324F" w:rsidP="00F755D2">
      <w:pPr>
        <w:spacing w:after="0" w:line="240" w:lineRule="auto"/>
      </w:pPr>
      <w:r>
        <w:continuationSeparator/>
      </w:r>
    </w:p>
  </w:footnote>
  <w:footnote w:type="continuationNotice" w:id="1">
    <w:p w14:paraId="73E6E3B3" w14:textId="77777777" w:rsidR="001C324F" w:rsidRDefault="001C3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8488" w14:textId="63125AC3" w:rsidR="00567063" w:rsidRPr="00755908" w:rsidRDefault="00F755D2">
    <w:pPr>
      <w:pStyle w:val="Header"/>
      <w:rPr>
        <w:sz w:val="32"/>
        <w:szCs w:val="32"/>
      </w:rPr>
    </w:pPr>
    <w:r w:rsidRPr="00755908">
      <w:rPr>
        <w:rFonts w:ascii="Arial" w:hAnsi="Arial" w:cs="Arial"/>
        <w:b/>
        <w:bCs/>
        <w:noProof/>
        <w:sz w:val="32"/>
        <w:szCs w:val="32"/>
      </w:rPr>
      <w:drawing>
        <wp:anchor distT="0" distB="0" distL="114300" distR="114300" simplePos="0" relativeHeight="251658240" behindDoc="1" locked="0" layoutInCell="1" allowOverlap="1" wp14:anchorId="404ACDC8" wp14:editId="2003101C">
          <wp:simplePos x="0" y="0"/>
          <wp:positionH relativeFrom="column">
            <wp:posOffset>4866640</wp:posOffset>
          </wp:positionH>
          <wp:positionV relativeFrom="paragraph">
            <wp:posOffset>-354330</wp:posOffset>
          </wp:positionV>
          <wp:extent cx="1506855" cy="668020"/>
          <wp:effectExtent l="0" t="0" r="0" b="0"/>
          <wp:wrapTight wrapText="bothSides">
            <wp:wrapPolygon edited="0">
              <wp:start x="0" y="0"/>
              <wp:lineTo x="0" y="20943"/>
              <wp:lineTo x="21300" y="20943"/>
              <wp:lineTo x="2130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50685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5C0" w14:textId="2BB53ABF" w:rsidR="008725D1" w:rsidRPr="00755908" w:rsidRDefault="008725D1">
    <w:pPr>
      <w:pStyle w:val="Header"/>
      <w:rPr>
        <w:sz w:val="32"/>
        <w:szCs w:val="32"/>
      </w:rPr>
    </w:pPr>
    <w:r w:rsidRPr="00755908">
      <w:rPr>
        <w:rFonts w:ascii="Arial" w:hAnsi="Arial" w:cs="Arial"/>
        <w:b/>
        <w:bCs/>
        <w:noProof/>
        <w:sz w:val="32"/>
        <w:szCs w:val="32"/>
      </w:rPr>
      <w:drawing>
        <wp:anchor distT="0" distB="0" distL="114300" distR="114300" simplePos="0" relativeHeight="251660288" behindDoc="1" locked="0" layoutInCell="1" allowOverlap="1" wp14:anchorId="2A42F891" wp14:editId="30FBEF29">
          <wp:simplePos x="0" y="0"/>
          <wp:positionH relativeFrom="column">
            <wp:posOffset>4689044</wp:posOffset>
          </wp:positionH>
          <wp:positionV relativeFrom="paragraph">
            <wp:posOffset>-366700</wp:posOffset>
          </wp:positionV>
          <wp:extent cx="1840230" cy="815975"/>
          <wp:effectExtent l="0" t="0" r="7620" b="3175"/>
          <wp:wrapTight wrapText="bothSides">
            <wp:wrapPolygon edited="0">
              <wp:start x="0" y="0"/>
              <wp:lineTo x="0" y="21180"/>
              <wp:lineTo x="21466" y="21180"/>
              <wp:lineTo x="2146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840230" cy="815975"/>
                  </a:xfrm>
                  <a:prstGeom prst="rect">
                    <a:avLst/>
                  </a:prstGeom>
                </pic:spPr>
              </pic:pic>
            </a:graphicData>
          </a:graphic>
          <wp14:sizeRelH relativeFrom="margin">
            <wp14:pctWidth>0</wp14:pctWidth>
          </wp14:sizeRelH>
          <wp14:sizeRelV relativeFrom="margin">
            <wp14:pctHeight>0</wp14:pctHeight>
          </wp14:sizeRelV>
        </wp:anchor>
      </w:drawing>
    </w:r>
    <w:r w:rsidRPr="00755908">
      <w:rPr>
        <w:sz w:val="32"/>
        <w:szCs w:val="32"/>
      </w:rPr>
      <w:t xml:space="preserve">Multiply Programme </w:t>
    </w:r>
    <w:r>
      <w:rPr>
        <w:sz w:val="32"/>
        <w:szCs w:val="32"/>
      </w:rPr>
      <w:t>– Numeracy in the West of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69F"/>
    <w:multiLevelType w:val="hybridMultilevel"/>
    <w:tmpl w:val="F5D46CA6"/>
    <w:lvl w:ilvl="0" w:tplc="B1660E84">
      <w:start w:val="1"/>
      <w:numFmt w:val="bullet"/>
      <w:lvlText w:val=""/>
      <w:lvlJc w:val="left"/>
      <w:pPr>
        <w:ind w:left="720" w:hanging="360"/>
      </w:pPr>
      <w:rPr>
        <w:rFonts w:ascii="Symbol" w:hAnsi="Symbol" w:hint="default"/>
      </w:rPr>
    </w:lvl>
    <w:lvl w:ilvl="1" w:tplc="26B2E78E">
      <w:start w:val="1"/>
      <w:numFmt w:val="bullet"/>
      <w:lvlText w:val="o"/>
      <w:lvlJc w:val="left"/>
      <w:pPr>
        <w:ind w:left="1440" w:hanging="360"/>
      </w:pPr>
      <w:rPr>
        <w:rFonts w:ascii="Courier New" w:hAnsi="Courier New" w:hint="default"/>
      </w:rPr>
    </w:lvl>
    <w:lvl w:ilvl="2" w:tplc="D480E7BE">
      <w:start w:val="1"/>
      <w:numFmt w:val="bullet"/>
      <w:lvlText w:val=""/>
      <w:lvlJc w:val="left"/>
      <w:pPr>
        <w:ind w:left="2160" w:hanging="360"/>
      </w:pPr>
      <w:rPr>
        <w:rFonts w:ascii="Wingdings" w:hAnsi="Wingdings" w:hint="default"/>
      </w:rPr>
    </w:lvl>
    <w:lvl w:ilvl="3" w:tplc="E830234C">
      <w:start w:val="1"/>
      <w:numFmt w:val="bullet"/>
      <w:lvlText w:val=""/>
      <w:lvlJc w:val="left"/>
      <w:pPr>
        <w:ind w:left="2880" w:hanging="360"/>
      </w:pPr>
      <w:rPr>
        <w:rFonts w:ascii="Symbol" w:hAnsi="Symbol" w:hint="default"/>
      </w:rPr>
    </w:lvl>
    <w:lvl w:ilvl="4" w:tplc="9C98E942">
      <w:start w:val="1"/>
      <w:numFmt w:val="bullet"/>
      <w:lvlText w:val="o"/>
      <w:lvlJc w:val="left"/>
      <w:pPr>
        <w:ind w:left="3600" w:hanging="360"/>
      </w:pPr>
      <w:rPr>
        <w:rFonts w:ascii="Courier New" w:hAnsi="Courier New" w:hint="default"/>
      </w:rPr>
    </w:lvl>
    <w:lvl w:ilvl="5" w:tplc="12162504">
      <w:start w:val="1"/>
      <w:numFmt w:val="bullet"/>
      <w:lvlText w:val=""/>
      <w:lvlJc w:val="left"/>
      <w:pPr>
        <w:ind w:left="4320" w:hanging="360"/>
      </w:pPr>
      <w:rPr>
        <w:rFonts w:ascii="Wingdings" w:hAnsi="Wingdings" w:hint="default"/>
      </w:rPr>
    </w:lvl>
    <w:lvl w:ilvl="6" w:tplc="6EC05D24">
      <w:start w:val="1"/>
      <w:numFmt w:val="bullet"/>
      <w:lvlText w:val=""/>
      <w:lvlJc w:val="left"/>
      <w:pPr>
        <w:ind w:left="5040" w:hanging="360"/>
      </w:pPr>
      <w:rPr>
        <w:rFonts w:ascii="Symbol" w:hAnsi="Symbol" w:hint="default"/>
      </w:rPr>
    </w:lvl>
    <w:lvl w:ilvl="7" w:tplc="9ECA173E">
      <w:start w:val="1"/>
      <w:numFmt w:val="bullet"/>
      <w:lvlText w:val="o"/>
      <w:lvlJc w:val="left"/>
      <w:pPr>
        <w:ind w:left="5760" w:hanging="360"/>
      </w:pPr>
      <w:rPr>
        <w:rFonts w:ascii="Courier New" w:hAnsi="Courier New" w:hint="default"/>
      </w:rPr>
    </w:lvl>
    <w:lvl w:ilvl="8" w:tplc="E4308FA6">
      <w:start w:val="1"/>
      <w:numFmt w:val="bullet"/>
      <w:lvlText w:val=""/>
      <w:lvlJc w:val="left"/>
      <w:pPr>
        <w:ind w:left="6480" w:hanging="360"/>
      </w:pPr>
      <w:rPr>
        <w:rFonts w:ascii="Wingdings" w:hAnsi="Wingdings" w:hint="default"/>
      </w:rPr>
    </w:lvl>
  </w:abstractNum>
  <w:abstractNum w:abstractNumId="1" w15:restartNumberingAfterBreak="0">
    <w:nsid w:val="1C801897"/>
    <w:multiLevelType w:val="hybridMultilevel"/>
    <w:tmpl w:val="3B405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21967"/>
    <w:multiLevelType w:val="hybridMultilevel"/>
    <w:tmpl w:val="8230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B16F8"/>
    <w:multiLevelType w:val="multilevel"/>
    <w:tmpl w:val="DD0CB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67208"/>
    <w:multiLevelType w:val="hybridMultilevel"/>
    <w:tmpl w:val="6E2E4B3A"/>
    <w:lvl w:ilvl="0" w:tplc="1506D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558BA"/>
    <w:multiLevelType w:val="hybridMultilevel"/>
    <w:tmpl w:val="42CAA4E2"/>
    <w:lvl w:ilvl="0" w:tplc="100C0558">
      <w:start w:val="1"/>
      <w:numFmt w:val="bullet"/>
      <w:lvlText w:val=""/>
      <w:lvlJc w:val="left"/>
      <w:pPr>
        <w:ind w:left="720" w:hanging="360"/>
      </w:pPr>
      <w:rPr>
        <w:rFonts w:ascii="Symbol" w:hAnsi="Symbol" w:hint="default"/>
      </w:rPr>
    </w:lvl>
    <w:lvl w:ilvl="1" w:tplc="439C216C">
      <w:start w:val="1"/>
      <w:numFmt w:val="bullet"/>
      <w:lvlText w:val="o"/>
      <w:lvlJc w:val="left"/>
      <w:pPr>
        <w:ind w:left="1440" w:hanging="360"/>
      </w:pPr>
      <w:rPr>
        <w:rFonts w:ascii="Courier New" w:hAnsi="Courier New" w:hint="default"/>
      </w:rPr>
    </w:lvl>
    <w:lvl w:ilvl="2" w:tplc="90A2FB74">
      <w:start w:val="1"/>
      <w:numFmt w:val="bullet"/>
      <w:lvlText w:val=""/>
      <w:lvlJc w:val="left"/>
      <w:pPr>
        <w:ind w:left="2160" w:hanging="360"/>
      </w:pPr>
      <w:rPr>
        <w:rFonts w:ascii="Wingdings" w:hAnsi="Wingdings" w:hint="default"/>
      </w:rPr>
    </w:lvl>
    <w:lvl w:ilvl="3" w:tplc="1936B0F2">
      <w:start w:val="1"/>
      <w:numFmt w:val="bullet"/>
      <w:lvlText w:val=""/>
      <w:lvlJc w:val="left"/>
      <w:pPr>
        <w:ind w:left="2880" w:hanging="360"/>
      </w:pPr>
      <w:rPr>
        <w:rFonts w:ascii="Symbol" w:hAnsi="Symbol" w:hint="default"/>
      </w:rPr>
    </w:lvl>
    <w:lvl w:ilvl="4" w:tplc="C6E00C62">
      <w:start w:val="1"/>
      <w:numFmt w:val="bullet"/>
      <w:lvlText w:val="o"/>
      <w:lvlJc w:val="left"/>
      <w:pPr>
        <w:ind w:left="3600" w:hanging="360"/>
      </w:pPr>
      <w:rPr>
        <w:rFonts w:ascii="Courier New" w:hAnsi="Courier New" w:hint="default"/>
      </w:rPr>
    </w:lvl>
    <w:lvl w:ilvl="5" w:tplc="4990AC8C">
      <w:start w:val="1"/>
      <w:numFmt w:val="bullet"/>
      <w:lvlText w:val=""/>
      <w:lvlJc w:val="left"/>
      <w:pPr>
        <w:ind w:left="4320" w:hanging="360"/>
      </w:pPr>
      <w:rPr>
        <w:rFonts w:ascii="Wingdings" w:hAnsi="Wingdings" w:hint="default"/>
      </w:rPr>
    </w:lvl>
    <w:lvl w:ilvl="6" w:tplc="233646E4">
      <w:start w:val="1"/>
      <w:numFmt w:val="bullet"/>
      <w:lvlText w:val=""/>
      <w:lvlJc w:val="left"/>
      <w:pPr>
        <w:ind w:left="5040" w:hanging="360"/>
      </w:pPr>
      <w:rPr>
        <w:rFonts w:ascii="Symbol" w:hAnsi="Symbol" w:hint="default"/>
      </w:rPr>
    </w:lvl>
    <w:lvl w:ilvl="7" w:tplc="FBBC11DC">
      <w:start w:val="1"/>
      <w:numFmt w:val="bullet"/>
      <w:lvlText w:val="o"/>
      <w:lvlJc w:val="left"/>
      <w:pPr>
        <w:ind w:left="5760" w:hanging="360"/>
      </w:pPr>
      <w:rPr>
        <w:rFonts w:ascii="Courier New" w:hAnsi="Courier New" w:hint="default"/>
      </w:rPr>
    </w:lvl>
    <w:lvl w:ilvl="8" w:tplc="A8E034CE">
      <w:start w:val="1"/>
      <w:numFmt w:val="bullet"/>
      <w:lvlText w:val=""/>
      <w:lvlJc w:val="left"/>
      <w:pPr>
        <w:ind w:left="6480" w:hanging="360"/>
      </w:pPr>
      <w:rPr>
        <w:rFonts w:ascii="Wingdings" w:hAnsi="Wingdings" w:hint="default"/>
      </w:rPr>
    </w:lvl>
  </w:abstractNum>
  <w:abstractNum w:abstractNumId="6" w15:restartNumberingAfterBreak="0">
    <w:nsid w:val="348341B5"/>
    <w:multiLevelType w:val="hybridMultilevel"/>
    <w:tmpl w:val="5CC42666"/>
    <w:lvl w:ilvl="0" w:tplc="70667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87346"/>
    <w:multiLevelType w:val="hybridMultilevel"/>
    <w:tmpl w:val="09BCE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DC"/>
    <w:rsid w:val="00000BB4"/>
    <w:rsid w:val="00001212"/>
    <w:rsid w:val="00017902"/>
    <w:rsid w:val="000350B5"/>
    <w:rsid w:val="00044268"/>
    <w:rsid w:val="00053DF3"/>
    <w:rsid w:val="00056258"/>
    <w:rsid w:val="000567A6"/>
    <w:rsid w:val="000741B5"/>
    <w:rsid w:val="00083597"/>
    <w:rsid w:val="00084BB0"/>
    <w:rsid w:val="000879F9"/>
    <w:rsid w:val="0009460E"/>
    <w:rsid w:val="000C1CF8"/>
    <w:rsid w:val="000C714A"/>
    <w:rsid w:val="000D645A"/>
    <w:rsid w:val="000F501F"/>
    <w:rsid w:val="000F7CA2"/>
    <w:rsid w:val="00105FA8"/>
    <w:rsid w:val="00112752"/>
    <w:rsid w:val="0011642B"/>
    <w:rsid w:val="00116BEF"/>
    <w:rsid w:val="00123AB6"/>
    <w:rsid w:val="00125E85"/>
    <w:rsid w:val="00161C09"/>
    <w:rsid w:val="00183C65"/>
    <w:rsid w:val="001840CC"/>
    <w:rsid w:val="00185FCE"/>
    <w:rsid w:val="00190CF7"/>
    <w:rsid w:val="001B1F7B"/>
    <w:rsid w:val="001B2CB8"/>
    <w:rsid w:val="001B71CF"/>
    <w:rsid w:val="001C324F"/>
    <w:rsid w:val="001C490A"/>
    <w:rsid w:val="001D224A"/>
    <w:rsid w:val="001E1264"/>
    <w:rsid w:val="001E381C"/>
    <w:rsid w:val="001E6478"/>
    <w:rsid w:val="001E64A9"/>
    <w:rsid w:val="00214B6A"/>
    <w:rsid w:val="00216B37"/>
    <w:rsid w:val="00244ADA"/>
    <w:rsid w:val="00252B52"/>
    <w:rsid w:val="0025426D"/>
    <w:rsid w:val="00254935"/>
    <w:rsid w:val="00261536"/>
    <w:rsid w:val="00261886"/>
    <w:rsid w:val="002670ED"/>
    <w:rsid w:val="00274331"/>
    <w:rsid w:val="002842CF"/>
    <w:rsid w:val="002A06E5"/>
    <w:rsid w:val="002A4E34"/>
    <w:rsid w:val="002B0661"/>
    <w:rsid w:val="002B253D"/>
    <w:rsid w:val="002B68EB"/>
    <w:rsid w:val="002C3379"/>
    <w:rsid w:val="002C79FD"/>
    <w:rsid w:val="002C7F54"/>
    <w:rsid w:val="002E01E2"/>
    <w:rsid w:val="002F359D"/>
    <w:rsid w:val="0032787F"/>
    <w:rsid w:val="00337F04"/>
    <w:rsid w:val="00341F64"/>
    <w:rsid w:val="00362A49"/>
    <w:rsid w:val="003645A1"/>
    <w:rsid w:val="00395109"/>
    <w:rsid w:val="0039525A"/>
    <w:rsid w:val="003A535F"/>
    <w:rsid w:val="003B20D7"/>
    <w:rsid w:val="003D4A75"/>
    <w:rsid w:val="003F2270"/>
    <w:rsid w:val="004028B0"/>
    <w:rsid w:val="00434186"/>
    <w:rsid w:val="0045591A"/>
    <w:rsid w:val="00470BCE"/>
    <w:rsid w:val="00470F6A"/>
    <w:rsid w:val="004742E5"/>
    <w:rsid w:val="00481E72"/>
    <w:rsid w:val="00496A91"/>
    <w:rsid w:val="004B63FE"/>
    <w:rsid w:val="004B6755"/>
    <w:rsid w:val="004C35F4"/>
    <w:rsid w:val="004D4B51"/>
    <w:rsid w:val="004E1F7D"/>
    <w:rsid w:val="004F187B"/>
    <w:rsid w:val="00512F6C"/>
    <w:rsid w:val="005213BF"/>
    <w:rsid w:val="00523E00"/>
    <w:rsid w:val="00545BE6"/>
    <w:rsid w:val="00566AA1"/>
    <w:rsid w:val="00567063"/>
    <w:rsid w:val="005734DC"/>
    <w:rsid w:val="005912D4"/>
    <w:rsid w:val="00595C97"/>
    <w:rsid w:val="005B1D74"/>
    <w:rsid w:val="005D3241"/>
    <w:rsid w:val="00624061"/>
    <w:rsid w:val="006254B7"/>
    <w:rsid w:val="006271F3"/>
    <w:rsid w:val="00630A9C"/>
    <w:rsid w:val="00630C38"/>
    <w:rsid w:val="00630EC2"/>
    <w:rsid w:val="00633493"/>
    <w:rsid w:val="00645794"/>
    <w:rsid w:val="006576E2"/>
    <w:rsid w:val="00677323"/>
    <w:rsid w:val="00686781"/>
    <w:rsid w:val="00694C7C"/>
    <w:rsid w:val="00694C9F"/>
    <w:rsid w:val="006A13E5"/>
    <w:rsid w:val="006B2511"/>
    <w:rsid w:val="006C1DE8"/>
    <w:rsid w:val="006F68AF"/>
    <w:rsid w:val="007414B7"/>
    <w:rsid w:val="007502F9"/>
    <w:rsid w:val="00754880"/>
    <w:rsid w:val="00755908"/>
    <w:rsid w:val="00761EA3"/>
    <w:rsid w:val="00764F5D"/>
    <w:rsid w:val="00771B6C"/>
    <w:rsid w:val="007B49B5"/>
    <w:rsid w:val="007B51EC"/>
    <w:rsid w:val="007C50A7"/>
    <w:rsid w:val="007E0101"/>
    <w:rsid w:val="007E02EC"/>
    <w:rsid w:val="007E472F"/>
    <w:rsid w:val="007F0735"/>
    <w:rsid w:val="007F7C5A"/>
    <w:rsid w:val="008059DE"/>
    <w:rsid w:val="008115C7"/>
    <w:rsid w:val="00827FF5"/>
    <w:rsid w:val="008320B0"/>
    <w:rsid w:val="00835EA0"/>
    <w:rsid w:val="008465B9"/>
    <w:rsid w:val="00847FD2"/>
    <w:rsid w:val="0085010A"/>
    <w:rsid w:val="00850C3D"/>
    <w:rsid w:val="008569F4"/>
    <w:rsid w:val="00867C3B"/>
    <w:rsid w:val="00867EBC"/>
    <w:rsid w:val="008725D1"/>
    <w:rsid w:val="00873D4E"/>
    <w:rsid w:val="00875F5D"/>
    <w:rsid w:val="00876025"/>
    <w:rsid w:val="008B3488"/>
    <w:rsid w:val="008C51FB"/>
    <w:rsid w:val="008E1FB7"/>
    <w:rsid w:val="008F2C53"/>
    <w:rsid w:val="0090116A"/>
    <w:rsid w:val="00907BE6"/>
    <w:rsid w:val="00914D55"/>
    <w:rsid w:val="009256E3"/>
    <w:rsid w:val="00946B68"/>
    <w:rsid w:val="00967D27"/>
    <w:rsid w:val="009703AE"/>
    <w:rsid w:val="00970622"/>
    <w:rsid w:val="00974508"/>
    <w:rsid w:val="00987EEB"/>
    <w:rsid w:val="009A2FC2"/>
    <w:rsid w:val="009A55C8"/>
    <w:rsid w:val="009A613C"/>
    <w:rsid w:val="009A7337"/>
    <w:rsid w:val="009A7904"/>
    <w:rsid w:val="009B64FC"/>
    <w:rsid w:val="009D0FB0"/>
    <w:rsid w:val="009D19C8"/>
    <w:rsid w:val="009F1381"/>
    <w:rsid w:val="009F6E23"/>
    <w:rsid w:val="00A01C22"/>
    <w:rsid w:val="00A22E23"/>
    <w:rsid w:val="00A27145"/>
    <w:rsid w:val="00A3271D"/>
    <w:rsid w:val="00A33B89"/>
    <w:rsid w:val="00A43FF4"/>
    <w:rsid w:val="00A50A92"/>
    <w:rsid w:val="00A518CF"/>
    <w:rsid w:val="00A5292F"/>
    <w:rsid w:val="00A54975"/>
    <w:rsid w:val="00A61B7B"/>
    <w:rsid w:val="00A63159"/>
    <w:rsid w:val="00A73757"/>
    <w:rsid w:val="00A76E71"/>
    <w:rsid w:val="00A80BFF"/>
    <w:rsid w:val="00AA5083"/>
    <w:rsid w:val="00AE0C64"/>
    <w:rsid w:val="00AE28A5"/>
    <w:rsid w:val="00AF123E"/>
    <w:rsid w:val="00B02FBB"/>
    <w:rsid w:val="00B12EC8"/>
    <w:rsid w:val="00B2150B"/>
    <w:rsid w:val="00B223B0"/>
    <w:rsid w:val="00B2316D"/>
    <w:rsid w:val="00B32B59"/>
    <w:rsid w:val="00B35B7D"/>
    <w:rsid w:val="00B425AF"/>
    <w:rsid w:val="00B57B8F"/>
    <w:rsid w:val="00B77CA6"/>
    <w:rsid w:val="00B8058A"/>
    <w:rsid w:val="00BA3505"/>
    <w:rsid w:val="00BA772C"/>
    <w:rsid w:val="00BD5A14"/>
    <w:rsid w:val="00BE69BE"/>
    <w:rsid w:val="00BF279B"/>
    <w:rsid w:val="00BF33F0"/>
    <w:rsid w:val="00BF50FE"/>
    <w:rsid w:val="00BF78D7"/>
    <w:rsid w:val="00BF7CC1"/>
    <w:rsid w:val="00C002F2"/>
    <w:rsid w:val="00C171ED"/>
    <w:rsid w:val="00C535AD"/>
    <w:rsid w:val="00C725E9"/>
    <w:rsid w:val="00C7325F"/>
    <w:rsid w:val="00C76750"/>
    <w:rsid w:val="00C76EB2"/>
    <w:rsid w:val="00C771C9"/>
    <w:rsid w:val="00C90C20"/>
    <w:rsid w:val="00CA7421"/>
    <w:rsid w:val="00CC056A"/>
    <w:rsid w:val="00CF0349"/>
    <w:rsid w:val="00CF0EAC"/>
    <w:rsid w:val="00D01F09"/>
    <w:rsid w:val="00D33754"/>
    <w:rsid w:val="00D61718"/>
    <w:rsid w:val="00D62315"/>
    <w:rsid w:val="00D6780B"/>
    <w:rsid w:val="00D705C0"/>
    <w:rsid w:val="00D73ED0"/>
    <w:rsid w:val="00D7792B"/>
    <w:rsid w:val="00D84AD5"/>
    <w:rsid w:val="00D86ADF"/>
    <w:rsid w:val="00DB1B64"/>
    <w:rsid w:val="00DC45F3"/>
    <w:rsid w:val="00DF0AB8"/>
    <w:rsid w:val="00DF3508"/>
    <w:rsid w:val="00DF7587"/>
    <w:rsid w:val="00E07847"/>
    <w:rsid w:val="00E119EA"/>
    <w:rsid w:val="00E14AED"/>
    <w:rsid w:val="00E34350"/>
    <w:rsid w:val="00E365DE"/>
    <w:rsid w:val="00E4586C"/>
    <w:rsid w:val="00E46DE3"/>
    <w:rsid w:val="00E53BAE"/>
    <w:rsid w:val="00E57571"/>
    <w:rsid w:val="00E61626"/>
    <w:rsid w:val="00E75625"/>
    <w:rsid w:val="00E8075B"/>
    <w:rsid w:val="00E8607E"/>
    <w:rsid w:val="00E91716"/>
    <w:rsid w:val="00E924A7"/>
    <w:rsid w:val="00EA5830"/>
    <w:rsid w:val="00EC6779"/>
    <w:rsid w:val="00EC6BF2"/>
    <w:rsid w:val="00ED1DA7"/>
    <w:rsid w:val="00ED271E"/>
    <w:rsid w:val="00ED417A"/>
    <w:rsid w:val="00EF73F3"/>
    <w:rsid w:val="00F03A7B"/>
    <w:rsid w:val="00F10E82"/>
    <w:rsid w:val="00F1279F"/>
    <w:rsid w:val="00F37B77"/>
    <w:rsid w:val="00F42C0D"/>
    <w:rsid w:val="00F60BF2"/>
    <w:rsid w:val="00F755D2"/>
    <w:rsid w:val="00F75ABD"/>
    <w:rsid w:val="00FA013C"/>
    <w:rsid w:val="00FA0972"/>
    <w:rsid w:val="00FA3387"/>
    <w:rsid w:val="00FA33F3"/>
    <w:rsid w:val="00FA5CC6"/>
    <w:rsid w:val="00FB086D"/>
    <w:rsid w:val="00FB4623"/>
    <w:rsid w:val="00FB4BD1"/>
    <w:rsid w:val="00FC03F1"/>
    <w:rsid w:val="00FD04C3"/>
    <w:rsid w:val="00FE58F4"/>
    <w:rsid w:val="00FE7970"/>
    <w:rsid w:val="01065DD8"/>
    <w:rsid w:val="04C3C830"/>
    <w:rsid w:val="04D754F0"/>
    <w:rsid w:val="065F9891"/>
    <w:rsid w:val="06678617"/>
    <w:rsid w:val="06F16916"/>
    <w:rsid w:val="07A6661C"/>
    <w:rsid w:val="0A6D1179"/>
    <w:rsid w:val="0DE23AD4"/>
    <w:rsid w:val="0DFE9F43"/>
    <w:rsid w:val="0EDCD924"/>
    <w:rsid w:val="0F45450C"/>
    <w:rsid w:val="10E1156D"/>
    <w:rsid w:val="15B48690"/>
    <w:rsid w:val="15C6E03D"/>
    <w:rsid w:val="175056F1"/>
    <w:rsid w:val="20248C27"/>
    <w:rsid w:val="21C05C88"/>
    <w:rsid w:val="2B0C8A4E"/>
    <w:rsid w:val="30377470"/>
    <w:rsid w:val="3158708C"/>
    <w:rsid w:val="32542A8C"/>
    <w:rsid w:val="36F4D0DC"/>
    <w:rsid w:val="37848C0B"/>
    <w:rsid w:val="38023645"/>
    <w:rsid w:val="3AA30470"/>
    <w:rsid w:val="3BB90B3B"/>
    <w:rsid w:val="3CF0F6A0"/>
    <w:rsid w:val="3EA2FE3A"/>
    <w:rsid w:val="400AC9F6"/>
    <w:rsid w:val="405CDB04"/>
    <w:rsid w:val="406A3886"/>
    <w:rsid w:val="411245F4"/>
    <w:rsid w:val="42AB6046"/>
    <w:rsid w:val="45E16709"/>
    <w:rsid w:val="4A111ACC"/>
    <w:rsid w:val="4CA9C99B"/>
    <w:rsid w:val="4DDEE25A"/>
    <w:rsid w:val="4E4BB7FD"/>
    <w:rsid w:val="517D3ABE"/>
    <w:rsid w:val="54866E86"/>
    <w:rsid w:val="56DE62FD"/>
    <w:rsid w:val="5A1603BF"/>
    <w:rsid w:val="5CB3D7F2"/>
    <w:rsid w:val="66DB5E6A"/>
    <w:rsid w:val="68088435"/>
    <w:rsid w:val="6BDE2016"/>
    <w:rsid w:val="6C696873"/>
    <w:rsid w:val="6CC6CE96"/>
    <w:rsid w:val="6FF35B9F"/>
    <w:rsid w:val="701E956C"/>
    <w:rsid w:val="7ADCDE12"/>
    <w:rsid w:val="7B260164"/>
    <w:rsid w:val="7DB5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275E"/>
  <w15:chartTrackingRefBased/>
  <w15:docId w15:val="{301725D4-204F-454C-B78F-521FF149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9A613C"/>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D2"/>
  </w:style>
  <w:style w:type="paragraph" w:styleId="Footer">
    <w:name w:val="footer"/>
    <w:basedOn w:val="Normal"/>
    <w:link w:val="FooterChar"/>
    <w:uiPriority w:val="99"/>
    <w:unhideWhenUsed/>
    <w:rsid w:val="00F7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D2"/>
  </w:style>
  <w:style w:type="paragraph" w:styleId="ListParagraph">
    <w:name w:val="List Paragraph"/>
    <w:basedOn w:val="Normal"/>
    <w:uiPriority w:val="34"/>
    <w:qFormat/>
    <w:rsid w:val="000567A6"/>
    <w:pPr>
      <w:ind w:left="720"/>
      <w:contextualSpacing/>
    </w:pPr>
  </w:style>
  <w:style w:type="character" w:styleId="Hyperlink">
    <w:name w:val="Hyperlink"/>
    <w:basedOn w:val="DefaultParagraphFont"/>
    <w:uiPriority w:val="99"/>
    <w:unhideWhenUsed/>
    <w:rsid w:val="007414B7"/>
    <w:rPr>
      <w:color w:val="0563C1" w:themeColor="hyperlink"/>
      <w:u w:val="single"/>
    </w:rPr>
  </w:style>
  <w:style w:type="character" w:styleId="UnresolvedMention">
    <w:name w:val="Unresolved Mention"/>
    <w:basedOn w:val="DefaultParagraphFont"/>
    <w:uiPriority w:val="99"/>
    <w:semiHidden/>
    <w:unhideWhenUsed/>
    <w:rsid w:val="007414B7"/>
    <w:rPr>
      <w:color w:val="605E5C"/>
      <w:shd w:val="clear" w:color="auto" w:fill="E1DFDD"/>
    </w:rPr>
  </w:style>
  <w:style w:type="table" w:styleId="TableGrid">
    <w:name w:val="Table Grid"/>
    <w:basedOn w:val="TableNormal"/>
    <w:uiPriority w:val="39"/>
    <w:rsid w:val="009F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241"/>
    <w:rPr>
      <w:sz w:val="16"/>
      <w:szCs w:val="16"/>
    </w:rPr>
  </w:style>
  <w:style w:type="paragraph" w:styleId="CommentText">
    <w:name w:val="annotation text"/>
    <w:basedOn w:val="Normal"/>
    <w:link w:val="CommentTextChar"/>
    <w:uiPriority w:val="99"/>
    <w:semiHidden/>
    <w:unhideWhenUsed/>
    <w:rsid w:val="005D3241"/>
    <w:pPr>
      <w:spacing w:line="240" w:lineRule="auto"/>
    </w:pPr>
    <w:rPr>
      <w:sz w:val="20"/>
      <w:szCs w:val="20"/>
    </w:rPr>
  </w:style>
  <w:style w:type="character" w:customStyle="1" w:styleId="CommentTextChar">
    <w:name w:val="Comment Text Char"/>
    <w:basedOn w:val="DefaultParagraphFont"/>
    <w:link w:val="CommentText"/>
    <w:uiPriority w:val="99"/>
    <w:semiHidden/>
    <w:rsid w:val="005D3241"/>
    <w:rPr>
      <w:sz w:val="20"/>
      <w:szCs w:val="20"/>
    </w:rPr>
  </w:style>
  <w:style w:type="paragraph" w:styleId="CommentSubject">
    <w:name w:val="annotation subject"/>
    <w:basedOn w:val="CommentText"/>
    <w:next w:val="CommentText"/>
    <w:link w:val="CommentSubjectChar"/>
    <w:uiPriority w:val="99"/>
    <w:semiHidden/>
    <w:unhideWhenUsed/>
    <w:rsid w:val="005D3241"/>
    <w:rPr>
      <w:b/>
      <w:bCs/>
    </w:rPr>
  </w:style>
  <w:style w:type="character" w:customStyle="1" w:styleId="CommentSubjectChar">
    <w:name w:val="Comment Subject Char"/>
    <w:basedOn w:val="CommentTextChar"/>
    <w:link w:val="CommentSubject"/>
    <w:uiPriority w:val="99"/>
    <w:semiHidden/>
    <w:rsid w:val="005D3241"/>
    <w:rPr>
      <w:b/>
      <w:bCs/>
      <w:sz w:val="20"/>
      <w:szCs w:val="20"/>
    </w:rPr>
  </w:style>
  <w:style w:type="character" w:customStyle="1" w:styleId="normaltextrun">
    <w:name w:val="normaltextrun"/>
    <w:basedOn w:val="DefaultParagraphFont"/>
    <w:rsid w:val="00B35B7D"/>
  </w:style>
  <w:style w:type="paragraph" w:customStyle="1" w:styleId="paragraph">
    <w:name w:val="paragraph"/>
    <w:basedOn w:val="Normal"/>
    <w:rsid w:val="00B35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35B7D"/>
  </w:style>
  <w:style w:type="table" w:styleId="GridTable4-Accent5">
    <w:name w:val="Grid Table 4 Accent 5"/>
    <w:basedOn w:val="TableNormal"/>
    <w:uiPriority w:val="49"/>
    <w:rsid w:val="00F42C0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595C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13C"/>
    <w:rPr>
      <w:rFonts w:asciiTheme="majorHAnsi" w:eastAsiaTheme="majorEastAsia" w:hAnsiTheme="majorHAnsi" w:cstheme="majorBidi"/>
      <w:b/>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s://www.nationalnumeracy.org.uk/what-numeracy/what-do-adult-numeracy-levels-mea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nationalnumeracy.org.uk/sites/default/files/2021-04/Counting%20on%20the%20Recovery%20(compressed)%20FINAL.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36000/12-p168-2011-skills-for-life-survey.pdf" TargetMode="External"/><Relationship Id="rId10" Type="http://schemas.openxmlformats.org/officeDocument/2006/relationships/hyperlink" Target="mailto:skills@westofengland-ca.gov.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kurt.scheibl\Downloads\Temp\data-key-stage-4-performance-revised.od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urt.scheibl\Downloads\Temp\data-key-stage-4-performance-revised%20(1).od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a:t>Pupils taking Statistics GCSE as a percentage of those taking Maths</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Sheet1!$K$5</c:f>
              <c:strCache>
                <c:ptCount val="1"/>
                <c:pt idx="0">
                  <c:v>Statistics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Sheet1!$J$6:$J$17</c:f>
              <c:strCache>
                <c:ptCount val="12"/>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strCache>
            </c:strRef>
          </c:cat>
          <c:val>
            <c:numRef>
              <c:f>Sheet1!$K$6:$K$17</c:f>
              <c:numCache>
                <c:formatCode>0%</c:formatCode>
                <c:ptCount val="12"/>
                <c:pt idx="0">
                  <c:v>0.11573530975695552</c:v>
                </c:pt>
                <c:pt idx="1">
                  <c:v>0.10347339281865886</c:v>
                </c:pt>
                <c:pt idx="2">
                  <c:v>8.8411853975496585E-2</c:v>
                </c:pt>
                <c:pt idx="3">
                  <c:v>7.3733406501948859E-2</c:v>
                </c:pt>
                <c:pt idx="4">
                  <c:v>8.2189806949289415E-2</c:v>
                </c:pt>
                <c:pt idx="5">
                  <c:v>9.096723236502921E-2</c:v>
                </c:pt>
                <c:pt idx="6">
                  <c:v>8.9982778679380176E-2</c:v>
                </c:pt>
                <c:pt idx="7">
                  <c:v>5.4202748423829612E-2</c:v>
                </c:pt>
                <c:pt idx="8">
                  <c:v>4.246121887796276E-2</c:v>
                </c:pt>
                <c:pt idx="9">
                  <c:v>2.4188691628891559E-2</c:v>
                </c:pt>
                <c:pt idx="10">
                  <c:v>4.0852028606216673E-2</c:v>
                </c:pt>
                <c:pt idx="11">
                  <c:v>3.507923129657585E-2</c:v>
                </c:pt>
              </c:numCache>
            </c:numRef>
          </c:val>
          <c:smooth val="0"/>
          <c:extLst>
            <c:ext xmlns:c16="http://schemas.microsoft.com/office/drawing/2014/chart" uri="{C3380CC4-5D6E-409C-BE32-E72D297353CC}">
              <c16:uniqueId val="{00000000-A4F4-4E42-AC5B-BD97F2E0D991}"/>
            </c:ext>
          </c:extLst>
        </c:ser>
        <c:dLbls>
          <c:dLblPos val="ctr"/>
          <c:showLegendKey val="0"/>
          <c:showVal val="1"/>
          <c:showCatName val="0"/>
          <c:showSerName val="0"/>
          <c:showPercent val="0"/>
          <c:showBubbleSize val="0"/>
        </c:dLbls>
        <c:marker val="1"/>
        <c:smooth val="0"/>
        <c:axId val="550700624"/>
        <c:axId val="429401432"/>
      </c:lineChart>
      <c:catAx>
        <c:axId val="55070062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29401432"/>
        <c:crosses val="autoZero"/>
        <c:auto val="1"/>
        <c:lblAlgn val="ctr"/>
        <c:lblOffset val="100"/>
        <c:noMultiLvlLbl val="0"/>
      </c:catAx>
      <c:valAx>
        <c:axId val="429401432"/>
        <c:scaling>
          <c:orientation val="minMax"/>
        </c:scaling>
        <c:delete val="1"/>
        <c:axPos val="l"/>
        <c:numFmt formatCode="0%" sourceLinked="1"/>
        <c:majorTickMark val="none"/>
        <c:minorTickMark val="none"/>
        <c:tickLblPos val="nextTo"/>
        <c:crossAx val="55070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Sheet1!$I$3</c:f>
              <c:strCache>
                <c:ptCount val="1"/>
                <c:pt idx="0">
                  <c:v>Percentage of pupils achieving grades 5 or above in English and Mathematics GCSEs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Sheet1!$G$4:$G$5</c:f>
              <c:strCache>
                <c:ptCount val="2"/>
                <c:pt idx="0">
                  <c:v>Average of all constituencies</c:v>
                </c:pt>
                <c:pt idx="1">
                  <c:v>Average of WoE constituencies</c:v>
                </c:pt>
              </c:strCache>
            </c:strRef>
          </c:cat>
          <c:val>
            <c:numRef>
              <c:f>Sheet1!$I$4:$I$5</c:f>
              <c:numCache>
                <c:formatCode>0%</c:formatCode>
                <c:ptCount val="2"/>
                <c:pt idx="0">
                  <c:v>0.51354784240150098</c:v>
                </c:pt>
                <c:pt idx="1">
                  <c:v>0.52381666666666671</c:v>
                </c:pt>
              </c:numCache>
            </c:numRef>
          </c:val>
          <c:extLst>
            <c:ext xmlns:c16="http://schemas.microsoft.com/office/drawing/2014/chart" uri="{C3380CC4-5D6E-409C-BE32-E72D297353CC}">
              <c16:uniqueId val="{00000000-EE5C-4133-86FC-B187D82BCA5C}"/>
            </c:ext>
          </c:extLst>
        </c:ser>
        <c:dLbls>
          <c:showLegendKey val="0"/>
          <c:showVal val="0"/>
          <c:showCatName val="0"/>
          <c:showSerName val="0"/>
          <c:showPercent val="0"/>
          <c:showBubbleSize val="0"/>
        </c:dLbls>
        <c:gapWidth val="219"/>
        <c:overlap val="-27"/>
        <c:axId val="421558320"/>
        <c:axId val="421558976"/>
      </c:barChart>
      <c:catAx>
        <c:axId val="42155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58976"/>
        <c:crosses val="autoZero"/>
        <c:auto val="1"/>
        <c:lblAlgn val="ctr"/>
        <c:lblOffset val="100"/>
        <c:noMultiLvlLbl val="0"/>
      </c:catAx>
      <c:valAx>
        <c:axId val="421558976"/>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58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27c6bb-3f61-4b00-b13b-26d89080bda3" xsi:nil="true"/>
    <SharedWithUsers xmlns="dd8606a3-d959-45f7-996e-3c98d970357c">
      <UserInfo>
        <DisplayName>Business &amp; Skills Members</DisplayName>
        <AccountId>7</AccountId>
        <AccountType/>
      </UserInfo>
      <UserInfo>
        <DisplayName>Henry Lawes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AC46217CC4B4684162E6191154383" ma:contentTypeVersion="14" ma:contentTypeDescription="Create a new document." ma:contentTypeScope="" ma:versionID="8f7ef69b5e83f0ee9693ad091bfc4af9">
  <xsd:schema xmlns:xsd="http://www.w3.org/2001/XMLSchema" xmlns:xs="http://www.w3.org/2001/XMLSchema" xmlns:p="http://schemas.microsoft.com/office/2006/metadata/properties" xmlns:ns2="f827c6bb-3f61-4b00-b13b-26d89080bda3" xmlns:ns3="dd8606a3-d959-45f7-996e-3c98d970357c" targetNamespace="http://schemas.microsoft.com/office/2006/metadata/properties" ma:root="true" ma:fieldsID="cb8d49546c465c00466a92df297d2080" ns2:_="" ns3:_="">
    <xsd:import namespace="f827c6bb-3f61-4b00-b13b-26d89080bda3"/>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6bb-3f61-4b00-b13b-26d89080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7E0B2-1785-4E1E-A6D2-A7CF0ECAA59F}">
  <ds:schemaRefs>
    <ds:schemaRef ds:uri="http://schemas.microsoft.com/office/infopath/2007/PartnerControls"/>
    <ds:schemaRef ds:uri="dd8606a3-d959-45f7-996e-3c98d970357c"/>
    <ds:schemaRef ds:uri="http://purl.org/dc/terms/"/>
    <ds:schemaRef ds:uri="http://schemas.microsoft.com/office/2006/metadata/properties"/>
    <ds:schemaRef ds:uri="http://schemas.microsoft.com/office/2006/documentManagement/types"/>
    <ds:schemaRef ds:uri="f827c6bb-3f61-4b00-b13b-26d89080bda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DA4E68-1D6E-4FA2-A1B5-451E237B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6bb-3f61-4b00-b13b-26d89080bda3"/>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8BA16-D9CC-4B44-A21D-EDCD71EE8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Links>
    <vt:vector size="24" baseType="variant">
      <vt:variant>
        <vt:i4>1114136</vt:i4>
      </vt:variant>
      <vt:variant>
        <vt:i4>9</vt:i4>
      </vt:variant>
      <vt:variant>
        <vt:i4>0</vt:i4>
      </vt:variant>
      <vt:variant>
        <vt:i4>5</vt:i4>
      </vt:variant>
      <vt:variant>
        <vt:lpwstr>https://www.nationalnumeracy.org.uk/what-numeracy/what-do-adult-numeracy-levels-mean</vt:lpwstr>
      </vt:variant>
      <vt:variant>
        <vt:lpwstr/>
      </vt:variant>
      <vt:variant>
        <vt:i4>7864441</vt:i4>
      </vt:variant>
      <vt:variant>
        <vt:i4>6</vt:i4>
      </vt:variant>
      <vt:variant>
        <vt:i4>0</vt:i4>
      </vt:variant>
      <vt:variant>
        <vt:i4>5</vt:i4>
      </vt:variant>
      <vt:variant>
        <vt:lpwstr>https://www.nationalnumeracy.org.uk/sites/default/files/2021-04/Counting on the Recovery (compressed) FINAL.pdf</vt:lpwstr>
      </vt:variant>
      <vt:variant>
        <vt:lpwstr/>
      </vt:variant>
      <vt:variant>
        <vt:i4>6684752</vt:i4>
      </vt:variant>
      <vt:variant>
        <vt:i4>3</vt:i4>
      </vt:variant>
      <vt:variant>
        <vt:i4>0</vt:i4>
      </vt:variant>
      <vt:variant>
        <vt:i4>5</vt:i4>
      </vt:variant>
      <vt:variant>
        <vt:lpwstr>https://assets.publishing.service.gov.uk/government/uploads/system/uploads/attachment_data/file/36000/12-p168-2011-skills-for-life-survey.pdf</vt:lpwstr>
      </vt:variant>
      <vt:variant>
        <vt:lpwstr/>
      </vt:variant>
      <vt:variant>
        <vt:i4>6750302</vt:i4>
      </vt:variant>
      <vt:variant>
        <vt:i4>0</vt:i4>
      </vt:variant>
      <vt:variant>
        <vt:i4>0</vt:i4>
      </vt:variant>
      <vt:variant>
        <vt:i4>5</vt:i4>
      </vt:variant>
      <vt:variant>
        <vt:lpwstr>mailto:skills@westofengland-ca.gov.uk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Jake Bufton</cp:lastModifiedBy>
  <cp:revision>3</cp:revision>
  <dcterms:created xsi:type="dcterms:W3CDTF">2022-04-22T13:13:00Z</dcterms:created>
  <dcterms:modified xsi:type="dcterms:W3CDTF">2022-04-22T14:23:00Z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0x010100C4BAC46217CC4B4684162E6191154383</vt:lpwstr>
  </property>
</Properties>
</file>